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DA" w:rsidRPr="000E3D7B" w:rsidRDefault="00F55F59" w:rsidP="000E3D7B">
      <w:pPr>
        <w:pStyle w:val="Rtitle"/>
      </w:pPr>
      <w:bookmarkStart w:id="0" w:name="_GoBack"/>
      <w:bookmarkEnd w:id="0"/>
      <w:r w:rsidRPr="000E3D7B">
        <w:t>Internal audit assurance for the Pension Fund Committee</w:t>
      </w:r>
    </w:p>
    <w:p w:rsidR="00F02DC5" w:rsidRPr="00951213" w:rsidRDefault="00F55F59" w:rsidP="00951213">
      <w:pPr>
        <w:pStyle w:val="Rheading"/>
      </w:pPr>
      <w:r>
        <w:t>Introduction</w:t>
      </w:r>
    </w:p>
    <w:p w:rsidR="00194768" w:rsidRPr="003558F1" w:rsidRDefault="00F55F59" w:rsidP="003558F1">
      <w:pPr>
        <w:pStyle w:val="Rparagraph"/>
      </w:pPr>
      <w:r w:rsidRPr="003558F1">
        <w:t>Lancashire County Council, as the administering authority of the Lancashire County Pension Fund, has prepared a governance policy statement that sets out the role of the council's Pension Fund Committee, Investment Panel and Pension Board. The Pension Board's terms of reference include the requirements that it should, "monitor internal and external audit reports" and "review the outcome of internal and external audit reports in relation to the Fund".</w:t>
      </w:r>
    </w:p>
    <w:p w:rsidR="00CB015A" w:rsidRDefault="00F55F59" w:rsidP="003558F1">
      <w:pPr>
        <w:pStyle w:val="Rparagraph"/>
      </w:pPr>
      <w:r>
        <w:t>The terms of reference for the county council's Audit, Risk and Governance Committee give it a wider remit to oversee internal audit activity, and its terms of reference address its oversight of the work of the Internal Audit Service in some detail. This includes a requirement to,</w:t>
      </w:r>
    </w:p>
    <w:p w:rsidR="00CB015A" w:rsidRDefault="00F55F59" w:rsidP="003558F1">
      <w:pPr>
        <w:pStyle w:val="Rquotation"/>
      </w:pPr>
      <w:r>
        <w:t>"Consider reports from the head of internal audit on internal audit’s performance during the year, including the performance of external providers of internal audit services. These will include updates on the work of internal audit including key findings, issues of concern and action in hand as a result of internal audit work…."</w:t>
      </w:r>
    </w:p>
    <w:p w:rsidR="00D95780" w:rsidRDefault="00F55F59" w:rsidP="003558F1">
      <w:pPr>
        <w:pStyle w:val="Rparagraph"/>
      </w:pPr>
      <w:r>
        <w:t xml:space="preserve">The </w:t>
      </w:r>
      <w:r w:rsidR="008A1E58">
        <w:t xml:space="preserve">council's </w:t>
      </w:r>
      <w:r>
        <w:t>Internal Audit Service's annual programme of work includes work relating to the Pension Fund and the Audit, Risk and Governance Committee considers both the annual plan and the outcomes of the work during the year.</w:t>
      </w:r>
    </w:p>
    <w:p w:rsidR="00681518" w:rsidRDefault="00F55F59" w:rsidP="003558F1">
      <w:pPr>
        <w:pStyle w:val="Rparagraph"/>
      </w:pPr>
      <w:r>
        <w:t>This report is therefore presented to the Pension Fund Committee for information regarding the outcomes of the internal audit work done during 2018/19 and the work included in the annual plan for 2019/20</w:t>
      </w:r>
      <w:r w:rsidRPr="007A0C2B">
        <w:t xml:space="preserve"> </w:t>
      </w:r>
      <w:r>
        <w:t>relating to the Lancashire County Pension Fund. It focusses on the work of the council's Internal Audit Service but also refers to the work undertaken by Deloitte for the Local Pension Partnership Ltd.</w:t>
      </w:r>
    </w:p>
    <w:p w:rsidR="007A0C2B" w:rsidRDefault="00F55F59" w:rsidP="007A0C2B">
      <w:pPr>
        <w:pStyle w:val="Rheading"/>
      </w:pPr>
      <w:r>
        <w:t>Internal audit work 2018/19</w:t>
      </w:r>
    </w:p>
    <w:p w:rsidR="004375F7" w:rsidRDefault="00F55F59" w:rsidP="003558F1">
      <w:pPr>
        <w:pStyle w:val="Rparagraph"/>
        <w:rPr>
          <w:lang w:eastAsia="en-GB"/>
        </w:rPr>
      </w:pPr>
      <w:r>
        <w:t>Details of the work undertaken by the Internal Audit Service and the assurance it provides for 2018/19 are set out below, and e</w:t>
      </w:r>
      <w:r>
        <w:rPr>
          <w:lang w:eastAsia="en-GB"/>
        </w:rPr>
        <w:t>xplanations of the assurance provided are set out in section 5 of this report.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tblGrid>
      <w:tr w:rsidR="003B7AE1" w:rsidTr="008A1E58">
        <w:trPr>
          <w:trHeight w:val="315"/>
          <w:tblHeader/>
        </w:trPr>
        <w:tc>
          <w:tcPr>
            <w:tcW w:w="7088" w:type="dxa"/>
            <w:shd w:val="clear" w:color="auto" w:fill="D9D9D9" w:themeFill="background1" w:themeFillShade="D9"/>
            <w:noWrap/>
          </w:tcPr>
          <w:p w:rsidR="004224A4" w:rsidRPr="00534482" w:rsidRDefault="00F55F59" w:rsidP="005320E2">
            <w:pPr>
              <w:spacing w:before="40" w:after="40" w:line="240" w:lineRule="auto"/>
              <w:rPr>
                <w:rFonts w:ascii="Arial" w:eastAsia="Times New Roman" w:hAnsi="Arial" w:cs="Arial"/>
                <w:b/>
                <w:bCs/>
                <w:color w:val="000000"/>
                <w:lang w:eastAsia="en-GB"/>
              </w:rPr>
            </w:pPr>
            <w:r w:rsidRPr="00534482">
              <w:rPr>
                <w:rFonts w:ascii="Arial" w:eastAsia="Times New Roman" w:hAnsi="Arial" w:cs="Arial"/>
                <w:b/>
                <w:bCs/>
                <w:color w:val="000000"/>
                <w:lang w:eastAsia="en-GB"/>
              </w:rPr>
              <w:t>Audit work</w:t>
            </w:r>
          </w:p>
        </w:tc>
        <w:tc>
          <w:tcPr>
            <w:tcW w:w="1417" w:type="dxa"/>
            <w:shd w:val="clear" w:color="auto" w:fill="D9D9D9" w:themeFill="background1" w:themeFillShade="D9"/>
          </w:tcPr>
          <w:p w:rsidR="004224A4" w:rsidRDefault="00F55F59" w:rsidP="005320E2">
            <w:pPr>
              <w:spacing w:before="40" w:after="4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Assurance</w:t>
            </w:r>
          </w:p>
        </w:tc>
      </w:tr>
      <w:tr w:rsidR="003B7AE1" w:rsidTr="008A1E58">
        <w:trPr>
          <w:trHeight w:val="300"/>
        </w:trPr>
        <w:tc>
          <w:tcPr>
            <w:tcW w:w="8505" w:type="dxa"/>
            <w:gridSpan w:val="2"/>
            <w:shd w:val="clear" w:color="auto" w:fill="auto"/>
            <w:noWrap/>
          </w:tcPr>
          <w:p w:rsidR="00F928B8" w:rsidRPr="004224A4" w:rsidRDefault="00F55F59" w:rsidP="005320E2">
            <w:pPr>
              <w:spacing w:before="40" w:after="40" w:line="240" w:lineRule="auto"/>
              <w:rPr>
                <w:rFonts w:ascii="Arial" w:eastAsia="Times New Roman" w:hAnsi="Arial" w:cs="Arial"/>
                <w:b/>
                <w:color w:val="000000"/>
                <w:lang w:eastAsia="en-GB"/>
              </w:rPr>
            </w:pPr>
            <w:r w:rsidRPr="004224A4">
              <w:rPr>
                <w:rFonts w:ascii="Arial" w:eastAsia="Times New Roman" w:hAnsi="Arial" w:cs="Arial"/>
                <w:b/>
                <w:color w:val="000000"/>
                <w:lang w:eastAsia="en-GB"/>
              </w:rPr>
              <w:t xml:space="preserve">Oversight of the Lancashire </w:t>
            </w:r>
            <w:r w:rsidRPr="00672C56">
              <w:rPr>
                <w:rFonts w:ascii="Arial" w:eastAsia="Times New Roman" w:hAnsi="Arial" w:cs="Arial"/>
                <w:b/>
                <w:color w:val="000000"/>
                <w:lang w:eastAsia="en-GB"/>
              </w:rPr>
              <w:t xml:space="preserve">County </w:t>
            </w:r>
            <w:r w:rsidRPr="004224A4">
              <w:rPr>
                <w:rFonts w:ascii="Arial" w:eastAsia="Times New Roman" w:hAnsi="Arial" w:cs="Arial"/>
                <w:b/>
                <w:color w:val="000000"/>
                <w:lang w:eastAsia="en-GB"/>
              </w:rPr>
              <w:t>Pension Fund</w:t>
            </w:r>
          </w:p>
        </w:tc>
      </w:tr>
      <w:tr w:rsidR="003B7AE1" w:rsidTr="008A1E58">
        <w:trPr>
          <w:trHeight w:val="300"/>
        </w:trPr>
        <w:tc>
          <w:tcPr>
            <w:tcW w:w="7088" w:type="dxa"/>
            <w:shd w:val="clear" w:color="auto" w:fill="auto"/>
            <w:noWrap/>
          </w:tcPr>
          <w:p w:rsidR="004224A4" w:rsidRPr="00063264" w:rsidRDefault="00F55F59" w:rsidP="000C222A">
            <w:pPr>
              <w:spacing w:before="40" w:after="40" w:line="240" w:lineRule="auto"/>
              <w:rPr>
                <w:rFonts w:ascii="Arial" w:eastAsia="Times New Roman" w:hAnsi="Arial" w:cs="Arial"/>
                <w:lang w:eastAsia="en-GB"/>
              </w:rPr>
            </w:pPr>
            <w:r>
              <w:rPr>
                <w:rFonts w:ascii="Arial" w:eastAsia="Times New Roman" w:hAnsi="Arial" w:cs="Arial"/>
                <w:color w:val="000000"/>
                <w:lang w:eastAsia="en-GB"/>
              </w:rPr>
              <w:t>Performance management</w:t>
            </w:r>
          </w:p>
        </w:tc>
        <w:tc>
          <w:tcPr>
            <w:tcW w:w="1417" w:type="dxa"/>
          </w:tcPr>
          <w:p w:rsidR="004224A4" w:rsidRPr="00063264" w:rsidRDefault="00F55F59" w:rsidP="005320E2">
            <w:pPr>
              <w:spacing w:before="40" w:after="40" w:line="240" w:lineRule="auto"/>
              <w:rPr>
                <w:rFonts w:ascii="Arial" w:eastAsia="Times New Roman" w:hAnsi="Arial" w:cs="Arial"/>
                <w:lang w:eastAsia="en-GB"/>
              </w:rPr>
            </w:pPr>
            <w:r>
              <w:rPr>
                <w:rFonts w:ascii="Arial" w:eastAsia="Times New Roman" w:hAnsi="Arial" w:cs="Arial"/>
                <w:lang w:eastAsia="en-GB"/>
              </w:rPr>
              <w:t>Substantial</w:t>
            </w:r>
          </w:p>
        </w:tc>
      </w:tr>
      <w:tr w:rsidR="003B7AE1" w:rsidTr="008A1E58">
        <w:trPr>
          <w:trHeight w:val="300"/>
        </w:trPr>
        <w:tc>
          <w:tcPr>
            <w:tcW w:w="7088" w:type="dxa"/>
            <w:shd w:val="clear" w:color="auto" w:fill="auto"/>
            <w:noWrap/>
          </w:tcPr>
          <w:p w:rsidR="004224A4" w:rsidRPr="00063264" w:rsidRDefault="00F55F59" w:rsidP="005320E2">
            <w:pPr>
              <w:spacing w:before="40" w:after="40" w:line="240" w:lineRule="auto"/>
              <w:rPr>
                <w:rFonts w:ascii="Arial" w:eastAsia="Times New Roman" w:hAnsi="Arial" w:cs="Arial"/>
                <w:lang w:eastAsia="en-GB"/>
              </w:rPr>
            </w:pPr>
            <w:r w:rsidRPr="006C471D">
              <w:rPr>
                <w:rFonts w:ascii="Arial" w:eastAsia="Times New Roman" w:hAnsi="Arial" w:cs="Arial"/>
                <w:color w:val="000000"/>
                <w:lang w:eastAsia="en-GB"/>
              </w:rPr>
              <w:t>New custodianship arrangements for the Lancashire Pension Fund</w:t>
            </w:r>
          </w:p>
        </w:tc>
        <w:tc>
          <w:tcPr>
            <w:tcW w:w="1417" w:type="dxa"/>
          </w:tcPr>
          <w:p w:rsidR="004224A4" w:rsidRPr="00063264" w:rsidRDefault="00F55F59" w:rsidP="005320E2">
            <w:pPr>
              <w:spacing w:before="40" w:after="40" w:line="240" w:lineRule="auto"/>
              <w:rPr>
                <w:rFonts w:ascii="Arial" w:eastAsia="Times New Roman" w:hAnsi="Arial" w:cs="Arial"/>
                <w:lang w:eastAsia="en-GB"/>
              </w:rPr>
            </w:pPr>
            <w:r>
              <w:rPr>
                <w:rFonts w:ascii="Arial" w:eastAsia="Times New Roman" w:hAnsi="Arial" w:cs="Arial"/>
                <w:lang w:eastAsia="en-GB"/>
              </w:rPr>
              <w:t>Substantial</w:t>
            </w:r>
          </w:p>
        </w:tc>
      </w:tr>
      <w:tr w:rsidR="003B7AE1" w:rsidTr="008A1E58">
        <w:trPr>
          <w:trHeight w:val="300"/>
        </w:trPr>
        <w:tc>
          <w:tcPr>
            <w:tcW w:w="7088" w:type="dxa"/>
            <w:shd w:val="clear" w:color="auto" w:fill="auto"/>
            <w:noWrap/>
          </w:tcPr>
          <w:p w:rsidR="004224A4" w:rsidRPr="00063264" w:rsidRDefault="00F55F59" w:rsidP="005320E2">
            <w:pPr>
              <w:spacing w:before="40" w:after="40" w:line="240" w:lineRule="auto"/>
              <w:rPr>
                <w:rFonts w:ascii="Arial" w:eastAsia="Times New Roman" w:hAnsi="Arial" w:cs="Arial"/>
                <w:lang w:eastAsia="en-GB"/>
              </w:rPr>
            </w:pPr>
            <w:r>
              <w:rPr>
                <w:rFonts w:ascii="Arial" w:eastAsia="Times New Roman" w:hAnsi="Arial" w:cs="Arial"/>
                <w:color w:val="000000"/>
                <w:lang w:eastAsia="en-GB"/>
              </w:rPr>
              <w:t>A</w:t>
            </w:r>
            <w:r w:rsidRPr="001D6363">
              <w:rPr>
                <w:rFonts w:ascii="Arial" w:eastAsia="Times New Roman" w:hAnsi="Arial" w:cs="Arial"/>
                <w:color w:val="000000"/>
                <w:lang w:eastAsia="en-GB"/>
              </w:rPr>
              <w:t>ccounting for the Pension Fund through the council's general ledger</w:t>
            </w:r>
          </w:p>
        </w:tc>
        <w:tc>
          <w:tcPr>
            <w:tcW w:w="1417" w:type="dxa"/>
          </w:tcPr>
          <w:p w:rsidR="004224A4" w:rsidRPr="00063264" w:rsidRDefault="00F55F59" w:rsidP="005320E2">
            <w:pPr>
              <w:spacing w:before="40" w:after="40" w:line="240" w:lineRule="auto"/>
              <w:rPr>
                <w:rFonts w:ascii="Arial" w:eastAsia="Times New Roman" w:hAnsi="Arial" w:cs="Arial"/>
                <w:lang w:eastAsia="en-GB"/>
              </w:rPr>
            </w:pPr>
            <w:r>
              <w:rPr>
                <w:rFonts w:ascii="Arial" w:eastAsia="Times New Roman" w:hAnsi="Arial" w:cs="Arial"/>
                <w:lang w:eastAsia="en-GB"/>
              </w:rPr>
              <w:t>Substantial</w:t>
            </w:r>
          </w:p>
        </w:tc>
      </w:tr>
      <w:tr w:rsidR="003B7AE1" w:rsidTr="008A1E58">
        <w:trPr>
          <w:trHeight w:val="300"/>
        </w:trPr>
        <w:tc>
          <w:tcPr>
            <w:tcW w:w="7088" w:type="dxa"/>
            <w:shd w:val="clear" w:color="auto" w:fill="auto"/>
            <w:noWrap/>
          </w:tcPr>
          <w:p w:rsidR="00F71D0C" w:rsidRPr="001D6363" w:rsidRDefault="00F55F59" w:rsidP="005320E2">
            <w:pPr>
              <w:spacing w:before="40" w:after="40" w:line="240" w:lineRule="auto"/>
              <w:rPr>
                <w:rFonts w:ascii="Arial" w:eastAsia="Times New Roman" w:hAnsi="Arial" w:cs="Arial"/>
                <w:color w:val="000000"/>
                <w:lang w:eastAsia="en-GB"/>
              </w:rPr>
            </w:pPr>
            <w:r>
              <w:rPr>
                <w:rFonts w:ascii="Arial" w:eastAsia="Times New Roman" w:hAnsi="Arial" w:cs="Arial"/>
                <w:color w:val="000000"/>
                <w:lang w:eastAsia="en-GB"/>
              </w:rPr>
              <w:t>Follow-</w:t>
            </w:r>
            <w:r w:rsidRPr="00E15FEC">
              <w:rPr>
                <w:rFonts w:ascii="Arial" w:eastAsia="Times New Roman" w:hAnsi="Arial" w:cs="Arial"/>
                <w:color w:val="000000"/>
                <w:lang w:eastAsia="en-GB"/>
              </w:rPr>
              <w:t xml:space="preserve">up of </w:t>
            </w:r>
            <w:r>
              <w:rPr>
                <w:rFonts w:ascii="Arial" w:eastAsia="Times New Roman" w:hAnsi="Arial" w:cs="Arial"/>
                <w:color w:val="000000"/>
                <w:lang w:eastAsia="en-GB"/>
              </w:rPr>
              <w:t xml:space="preserve">the action arising from </w:t>
            </w:r>
            <w:r w:rsidRPr="00E15FEC">
              <w:rPr>
                <w:rFonts w:ascii="Arial" w:eastAsia="Times New Roman" w:hAnsi="Arial" w:cs="Arial"/>
                <w:color w:val="000000"/>
                <w:lang w:eastAsia="en-GB"/>
              </w:rPr>
              <w:t>audit</w:t>
            </w:r>
            <w:r>
              <w:rPr>
                <w:rFonts w:ascii="Arial" w:eastAsia="Times New Roman" w:hAnsi="Arial" w:cs="Arial"/>
                <w:color w:val="000000"/>
                <w:lang w:eastAsia="en-GB"/>
              </w:rPr>
              <w:t xml:space="preserve"> work during </w:t>
            </w:r>
            <w:r w:rsidRPr="00E15FEC">
              <w:rPr>
                <w:rFonts w:ascii="Arial" w:eastAsia="Times New Roman" w:hAnsi="Arial" w:cs="Arial"/>
                <w:color w:val="000000"/>
                <w:lang w:eastAsia="en-GB"/>
              </w:rPr>
              <w:t>2017/18</w:t>
            </w:r>
            <w:r>
              <w:rPr>
                <w:rFonts w:ascii="Arial" w:eastAsia="Times New Roman" w:hAnsi="Arial" w:cs="Arial"/>
                <w:color w:val="000000"/>
                <w:lang w:eastAsia="en-GB"/>
              </w:rPr>
              <w:t xml:space="preserve"> relating to ov</w:t>
            </w:r>
            <w:r w:rsidRPr="00E15FEC">
              <w:rPr>
                <w:rFonts w:ascii="Arial" w:eastAsia="Times New Roman" w:hAnsi="Arial" w:cs="Arial"/>
                <w:color w:val="000000"/>
                <w:lang w:eastAsia="en-GB"/>
              </w:rPr>
              <w:t>ersight</w:t>
            </w:r>
            <w:r>
              <w:rPr>
                <w:rFonts w:ascii="Arial" w:eastAsia="Times New Roman" w:hAnsi="Arial" w:cs="Arial"/>
                <w:color w:val="000000"/>
                <w:lang w:eastAsia="en-GB"/>
              </w:rPr>
              <w:t xml:space="preserve"> of the Lancashire Pension Fund</w:t>
            </w:r>
          </w:p>
        </w:tc>
        <w:tc>
          <w:tcPr>
            <w:tcW w:w="1417" w:type="dxa"/>
          </w:tcPr>
          <w:p w:rsidR="00F71D0C" w:rsidRPr="00063264" w:rsidRDefault="00F55F59" w:rsidP="00BE4A1F">
            <w:pPr>
              <w:spacing w:before="40" w:after="40" w:line="240" w:lineRule="auto"/>
              <w:rPr>
                <w:rFonts w:ascii="Arial" w:eastAsia="Times New Roman" w:hAnsi="Arial" w:cs="Arial"/>
                <w:lang w:eastAsia="en-GB"/>
              </w:rPr>
            </w:pPr>
            <w:r>
              <w:rPr>
                <w:rFonts w:ascii="Arial" w:eastAsia="Times New Roman" w:hAnsi="Arial" w:cs="Arial"/>
                <w:lang w:eastAsia="en-GB"/>
              </w:rPr>
              <w:t>Action complete</w:t>
            </w:r>
          </w:p>
        </w:tc>
      </w:tr>
      <w:tr w:rsidR="003B7AE1" w:rsidTr="008A1E58">
        <w:trPr>
          <w:trHeight w:val="300"/>
        </w:trPr>
        <w:tc>
          <w:tcPr>
            <w:tcW w:w="8505" w:type="dxa"/>
            <w:gridSpan w:val="2"/>
            <w:shd w:val="clear" w:color="auto" w:fill="auto"/>
            <w:noWrap/>
          </w:tcPr>
          <w:p w:rsidR="00F928B8" w:rsidRPr="004224A4" w:rsidRDefault="00F55F59" w:rsidP="005320E2">
            <w:pPr>
              <w:spacing w:before="40" w:after="40" w:line="240" w:lineRule="auto"/>
              <w:rPr>
                <w:rFonts w:ascii="Arial" w:eastAsia="Times New Roman" w:hAnsi="Arial" w:cs="Arial"/>
                <w:b/>
                <w:color w:val="000000"/>
                <w:lang w:eastAsia="en-GB"/>
              </w:rPr>
            </w:pPr>
            <w:r w:rsidRPr="004224A4">
              <w:rPr>
                <w:rFonts w:ascii="Arial" w:eastAsia="Times New Roman" w:hAnsi="Arial" w:cs="Arial"/>
                <w:b/>
                <w:color w:val="000000"/>
                <w:lang w:eastAsia="en-GB"/>
              </w:rPr>
              <w:t xml:space="preserve">Obtaining and understanding the assurance provided by </w:t>
            </w:r>
            <w:r w:rsidRPr="00346268">
              <w:rPr>
                <w:rFonts w:ascii="Arial" w:eastAsia="Times New Roman" w:hAnsi="Arial" w:cs="Arial"/>
                <w:b/>
                <w:color w:val="000000"/>
                <w:lang w:eastAsia="en-GB"/>
              </w:rPr>
              <w:t>Local Pensions Partnership Limited</w:t>
            </w:r>
            <w:r w:rsidRPr="004224A4">
              <w:rPr>
                <w:rFonts w:ascii="Arial" w:eastAsia="Times New Roman" w:hAnsi="Arial" w:cs="Arial"/>
                <w:b/>
                <w:color w:val="000000"/>
                <w:lang w:eastAsia="en-GB"/>
              </w:rPr>
              <w:t xml:space="preserve"> own internal auditors</w:t>
            </w:r>
          </w:p>
        </w:tc>
      </w:tr>
      <w:tr w:rsidR="003B7AE1" w:rsidTr="008A1E58">
        <w:trPr>
          <w:trHeight w:val="300"/>
        </w:trPr>
        <w:tc>
          <w:tcPr>
            <w:tcW w:w="7088" w:type="dxa"/>
            <w:shd w:val="clear" w:color="auto" w:fill="auto"/>
            <w:noWrap/>
          </w:tcPr>
          <w:p w:rsidR="00FD4F09" w:rsidRPr="00CA42F7" w:rsidRDefault="00F55F59" w:rsidP="00BE4A1F">
            <w:pPr>
              <w:spacing w:before="40" w:after="40" w:line="240" w:lineRule="auto"/>
              <w:rPr>
                <w:rFonts w:ascii="Arial" w:eastAsia="Times New Roman" w:hAnsi="Arial" w:cs="Arial"/>
                <w:lang w:eastAsia="en-GB"/>
              </w:rPr>
            </w:pPr>
            <w:r w:rsidRPr="00DA1651">
              <w:rPr>
                <w:rFonts w:ascii="Arial" w:eastAsia="Times New Roman" w:hAnsi="Arial" w:cs="Arial"/>
                <w:lang w:eastAsia="en-GB"/>
              </w:rPr>
              <w:t>Assessment</w:t>
            </w:r>
            <w:r>
              <w:rPr>
                <w:rFonts w:ascii="Arial" w:eastAsia="Times New Roman" w:hAnsi="Arial" w:cs="Arial"/>
                <w:lang w:eastAsia="en-GB"/>
              </w:rPr>
              <w:t xml:space="preserve"> of the assurance </w:t>
            </w:r>
            <w:r w:rsidRPr="00DA1651">
              <w:rPr>
                <w:rFonts w:ascii="Arial" w:eastAsia="Times New Roman" w:hAnsi="Arial" w:cs="Arial"/>
                <w:lang w:eastAsia="en-GB"/>
              </w:rPr>
              <w:t>provided by Deloitte over the Fund’s administration and investment operations outsourced to Local Pensions Partnership</w:t>
            </w:r>
            <w:r>
              <w:rPr>
                <w:rFonts w:ascii="Arial" w:eastAsia="Times New Roman" w:hAnsi="Arial" w:cs="Arial"/>
                <w:lang w:eastAsia="en-GB"/>
              </w:rPr>
              <w:t xml:space="preserve"> Limited (LPP)</w:t>
            </w:r>
          </w:p>
        </w:tc>
        <w:tc>
          <w:tcPr>
            <w:tcW w:w="1417" w:type="dxa"/>
          </w:tcPr>
          <w:p w:rsidR="004224A4" w:rsidRPr="00EE7DE5" w:rsidRDefault="00F55F59" w:rsidP="00EE7DE5">
            <w:pPr>
              <w:spacing w:before="40" w:after="40" w:line="240" w:lineRule="auto"/>
              <w:rPr>
                <w:rFonts w:ascii="Arial" w:eastAsia="Times New Roman" w:hAnsi="Arial" w:cs="Arial"/>
                <w:lang w:eastAsia="en-GB"/>
              </w:rPr>
            </w:pPr>
            <w:r>
              <w:rPr>
                <w:rFonts w:ascii="Arial" w:eastAsia="Times New Roman" w:hAnsi="Arial" w:cs="Arial"/>
                <w:lang w:eastAsia="en-GB"/>
              </w:rPr>
              <w:t>Limited: see paragraph 3.4 below</w:t>
            </w:r>
          </w:p>
        </w:tc>
      </w:tr>
    </w:tbl>
    <w:p w:rsidR="004224A4" w:rsidRDefault="00F55F59" w:rsidP="003558F1">
      <w:pPr>
        <w:pStyle w:val="Rsub-heading"/>
      </w:pPr>
      <w:r>
        <w:rPr>
          <w:lang w:eastAsia="en-GB"/>
        </w:rPr>
        <w:lastRenderedPageBreak/>
        <w:t>Performance management</w:t>
      </w:r>
    </w:p>
    <w:p w:rsidR="004375F7" w:rsidRPr="004375F7" w:rsidRDefault="00F55F59" w:rsidP="003558F1">
      <w:pPr>
        <w:pStyle w:val="Rparagraph"/>
      </w:pPr>
      <w:r w:rsidRPr="004375F7">
        <w:t>The council's Governance Policy Statement sets out the roles of the Pension Fund Committee, Pension Board and senior post-holders in relation to the governance and oversight of the Fund. This includes oversight of the Fund's performance and particularly the performance of its investments.</w:t>
      </w:r>
    </w:p>
    <w:p w:rsidR="004375F7" w:rsidRPr="004375F7" w:rsidRDefault="00F55F59" w:rsidP="003558F1">
      <w:pPr>
        <w:pStyle w:val="Rparagraph"/>
      </w:pPr>
      <w:r w:rsidRPr="004375F7">
        <w:t>The Pension Fund Committee takes the role of scheme manager and receives regular reports from the head of service for the Pension Fund and LPP. The committee is advised by the Investment Panel and assisted by the Pension Board whose independent advisors and chair respectively have been appointed for their expertise, and is provided with sufficient, relevant information to assess and effectively challenge the performance of the Fund.</w:t>
      </w:r>
    </w:p>
    <w:p w:rsidR="004224A4" w:rsidRDefault="00F55F59" w:rsidP="003558F1">
      <w:pPr>
        <w:pStyle w:val="Rsub-heading"/>
      </w:pPr>
      <w:r w:rsidRPr="006C471D">
        <w:rPr>
          <w:rFonts w:eastAsia="Times New Roman"/>
          <w:lang w:eastAsia="en-GB"/>
        </w:rPr>
        <w:t>New custodianship arrangements</w:t>
      </w:r>
    </w:p>
    <w:p w:rsidR="004375F7" w:rsidRPr="004375F7" w:rsidRDefault="00F55F59" w:rsidP="003558F1">
      <w:pPr>
        <w:pStyle w:val="Rparagraph"/>
      </w:pPr>
      <w:r w:rsidRPr="003D5C4C">
        <w:t xml:space="preserve">The Pensions Act requires the Pension Fund to have adequate internal control mechanisms in place, including arrangements for safe custody and security of the assets of the scheme. The Fund therefore requires a custodian to hold </w:t>
      </w:r>
      <w:r>
        <w:t>its assets.</w:t>
      </w:r>
    </w:p>
    <w:p w:rsidR="004375F7" w:rsidRPr="004375F7" w:rsidRDefault="00F55F59" w:rsidP="003558F1">
      <w:pPr>
        <w:pStyle w:val="Rparagraph"/>
      </w:pPr>
      <w:r w:rsidRPr="003D5C4C">
        <w:t>The custodian appointed by the council (Northern Trust) holds £1.6 billion of the £7.9 billion of assets belonging to the Pension Fund</w:t>
      </w:r>
      <w:r>
        <w:t xml:space="preserve">: </w:t>
      </w:r>
      <w:r w:rsidRPr="003D5C4C">
        <w:t xml:space="preserve">the remaining assets are held by the custodian for </w:t>
      </w:r>
      <w:r>
        <w:t>LPP</w:t>
      </w:r>
      <w:r w:rsidRPr="003D5C4C">
        <w:t xml:space="preserve"> (BNY Mellon). Northern Trust obtains information from BNY Mellon and presents information on</w:t>
      </w:r>
      <w:r>
        <w:t xml:space="preserve"> the whole fund to the council.</w:t>
      </w:r>
    </w:p>
    <w:p w:rsidR="004375F7" w:rsidRPr="004375F7" w:rsidRDefault="00F55F59" w:rsidP="003558F1">
      <w:pPr>
        <w:pStyle w:val="Rparagraph"/>
      </w:pPr>
      <w:r w:rsidRPr="00E366A9">
        <w:t xml:space="preserve">We identified no </w:t>
      </w:r>
      <w:r>
        <w:t xml:space="preserve">unmitigated risks </w:t>
      </w:r>
      <w:r w:rsidRPr="00E366A9">
        <w:t>in the course of our audit</w:t>
      </w:r>
      <w:r>
        <w:t xml:space="preserve"> and no further action is required of management</w:t>
      </w:r>
      <w:r w:rsidRPr="00E366A9">
        <w:t>.</w:t>
      </w:r>
    </w:p>
    <w:p w:rsidR="004375F7" w:rsidRPr="004375F7" w:rsidRDefault="00F55F59" w:rsidP="003558F1">
      <w:pPr>
        <w:pStyle w:val="Rsub-heading"/>
      </w:pPr>
      <w:r>
        <w:rPr>
          <w:rFonts w:eastAsia="Times New Roman"/>
          <w:lang w:eastAsia="en-GB"/>
        </w:rPr>
        <w:t>Cash flow management</w:t>
      </w:r>
    </w:p>
    <w:p w:rsidR="000A3DBA" w:rsidRDefault="00F55F59" w:rsidP="003558F1">
      <w:pPr>
        <w:pStyle w:val="Rparagraph"/>
      </w:pPr>
      <w:r w:rsidRPr="001774DB">
        <w:t>The</w:t>
      </w:r>
      <w:r>
        <w:t xml:space="preserve"> Pension Fund disburses </w:t>
      </w:r>
      <w:r w:rsidRPr="001774DB">
        <w:t xml:space="preserve">approximately £20 million per month as pensions and other expenses are paid, offset by </w:t>
      </w:r>
      <w:r>
        <w:t xml:space="preserve">contributions and other income. </w:t>
      </w:r>
      <w:r w:rsidRPr="001774DB">
        <w:t xml:space="preserve">The Fund's policy is to maintain a </w:t>
      </w:r>
      <w:r w:rsidR="000E3A5A">
        <w:t xml:space="preserve">minimum </w:t>
      </w:r>
      <w:r w:rsidRPr="001774DB">
        <w:t xml:space="preserve">balance </w:t>
      </w:r>
      <w:r>
        <w:t>of £70 million</w:t>
      </w:r>
      <w:r w:rsidRPr="003662B2">
        <w:t xml:space="preserve">, </w:t>
      </w:r>
      <w:r w:rsidRPr="001774DB">
        <w:t xml:space="preserve">held in cash or other highly liquid assets. This is managed by </w:t>
      </w:r>
      <w:r>
        <w:t>the</w:t>
      </w:r>
      <w:r w:rsidRPr="001774DB">
        <w:t xml:space="preserve"> </w:t>
      </w:r>
      <w:r>
        <w:t>c</w:t>
      </w:r>
      <w:r w:rsidRPr="001774DB">
        <w:t xml:space="preserve">ounty </w:t>
      </w:r>
      <w:r>
        <w:t>c</w:t>
      </w:r>
      <w:r w:rsidRPr="001774DB">
        <w:t xml:space="preserve">ouncil and is separate from the funds invested by </w:t>
      </w:r>
      <w:r>
        <w:t>LPP</w:t>
      </w:r>
      <w:r w:rsidRPr="001774DB">
        <w:t xml:space="preserve">. Any surplus cash </w:t>
      </w:r>
      <w:r>
        <w:t xml:space="preserve">should be </w:t>
      </w:r>
      <w:r w:rsidRPr="001774DB">
        <w:t xml:space="preserve">invested in </w:t>
      </w:r>
      <w:r w:rsidRPr="003662B2">
        <w:t>accordance</w:t>
      </w:r>
      <w:r w:rsidRPr="001774DB">
        <w:t xml:space="preserve"> with </w:t>
      </w:r>
      <w:r w:rsidRPr="003662B2">
        <w:t>the investment</w:t>
      </w:r>
      <w:r w:rsidRPr="001774DB">
        <w:t xml:space="preserve"> strategy to mini</w:t>
      </w:r>
      <w:r>
        <w:t>mise risk and ensure liquidity.</w:t>
      </w:r>
    </w:p>
    <w:p w:rsidR="003662B2" w:rsidRPr="003662B2" w:rsidRDefault="00F55F59" w:rsidP="003558F1">
      <w:pPr>
        <w:pStyle w:val="Rparagraph"/>
      </w:pPr>
      <w:r>
        <w:t>As at 1 January 2019 the balance of cash and short-term liq</w:t>
      </w:r>
      <w:r w:rsidR="00347CB0">
        <w:t>uid assets was £154 million. This</w:t>
      </w:r>
      <w:r>
        <w:t xml:space="preserve"> </w:t>
      </w:r>
      <w:r w:rsidR="00347CB0">
        <w:t>higher</w:t>
      </w:r>
      <w:r>
        <w:t xml:space="preserve"> balance has arisen due to payments in advance by employers to address deficits following the last valuation in 2016: employers were offered a discount on their deficit payments if they paid these in 2017, and man</w:t>
      </w:r>
      <w:r w:rsidR="00347CB0">
        <w:t>y employers took up this offer.</w:t>
      </w:r>
    </w:p>
    <w:p w:rsidR="00815457" w:rsidRPr="000A3DBA" w:rsidRDefault="00F55F59" w:rsidP="003558F1">
      <w:pPr>
        <w:pStyle w:val="Rparagraph"/>
        <w:rPr>
          <w:b/>
        </w:rPr>
      </w:pPr>
      <w:r w:rsidRPr="003662B2">
        <w:t>The Pension</w:t>
      </w:r>
      <w:r w:rsidRPr="00A15152">
        <w:t xml:space="preserve"> Fund Treasury Management Strategy sets out how surplus cash is managed the short term and we confirmed that surplus cash is managed in accordance with this strategy</w:t>
      </w:r>
      <w:r>
        <w:t>.</w:t>
      </w:r>
    </w:p>
    <w:p w:rsidR="00B40F81" w:rsidRDefault="00F55F59" w:rsidP="00B40F81">
      <w:pPr>
        <w:pStyle w:val="Rheading"/>
      </w:pPr>
      <w:r>
        <w:t>Internal audit work undertaken by Deloitte during 2018/19</w:t>
      </w:r>
    </w:p>
    <w:p w:rsidR="008C6F30" w:rsidRPr="00B37BBD" w:rsidRDefault="00F55F59" w:rsidP="003558F1">
      <w:pPr>
        <w:pStyle w:val="Rparagraph"/>
      </w:pPr>
      <w:r>
        <w:t>Local Pensions Partnership Limited has appointed Deloitte as its internal auditor and the committee should note the scope of work undertaken for this service provider to the Lancashire County Pension Fund. Deloitte disclaims any liability to the county council and Lancashire County Pension Fund for any reliance they may place on this work but have agreed that their conclusions may be reported to the council's Audit, Risk and Governance Committee and Pension Fund Committee.</w:t>
      </w:r>
    </w:p>
    <w:p w:rsidR="005404F6" w:rsidRDefault="00F55F59" w:rsidP="003558F1">
      <w:pPr>
        <w:pStyle w:val="Rparagraph"/>
      </w:pPr>
      <w:r>
        <w:lastRenderedPageBreak/>
        <w:t>During 2018/19 Deloitte has</w:t>
      </w:r>
      <w:r w:rsidRPr="00C81E7A">
        <w:t xml:space="preserve"> completed and </w:t>
      </w:r>
      <w:r w:rsidRPr="00EE7DE5">
        <w:t xml:space="preserve">reported two audits under the second year of its three-year risk-based audit plan and the </w:t>
      </w:r>
      <w:r>
        <w:t>final audit from the first year of its plan.</w:t>
      </w:r>
    </w:p>
    <w:tbl>
      <w:tblPr>
        <w:tblStyle w:val="TableGrid"/>
        <w:tblW w:w="8789" w:type="dxa"/>
        <w:tblInd w:w="562" w:type="dxa"/>
        <w:tblLayout w:type="fixed"/>
        <w:tblLook w:val="04A0" w:firstRow="1" w:lastRow="0" w:firstColumn="1" w:lastColumn="0" w:noHBand="0" w:noVBand="1"/>
      </w:tblPr>
      <w:tblGrid>
        <w:gridCol w:w="4820"/>
        <w:gridCol w:w="3969"/>
      </w:tblGrid>
      <w:tr w:rsidR="003B7AE1" w:rsidTr="00DE6459">
        <w:trPr>
          <w:tblHeader/>
        </w:trPr>
        <w:tc>
          <w:tcPr>
            <w:tcW w:w="4820" w:type="dxa"/>
            <w:shd w:val="clear" w:color="auto" w:fill="D9D9D9" w:themeFill="background1" w:themeFillShade="D9"/>
          </w:tcPr>
          <w:p w:rsidR="00B40F81" w:rsidRPr="00B9614A" w:rsidRDefault="00F55F59" w:rsidP="005320E2">
            <w:pPr>
              <w:pStyle w:val="ListParagraph"/>
              <w:spacing w:before="40" w:after="40" w:line="240" w:lineRule="auto"/>
              <w:ind w:left="0"/>
              <w:rPr>
                <w:rFonts w:ascii="Arial" w:hAnsi="Arial" w:cs="Arial"/>
                <w:b/>
                <w:sz w:val="24"/>
                <w:szCs w:val="24"/>
              </w:rPr>
            </w:pPr>
            <w:r>
              <w:rPr>
                <w:rFonts w:ascii="Arial" w:hAnsi="Arial" w:cs="Arial"/>
                <w:b/>
                <w:sz w:val="24"/>
                <w:szCs w:val="24"/>
              </w:rPr>
              <w:t>Control area</w:t>
            </w:r>
          </w:p>
        </w:tc>
        <w:tc>
          <w:tcPr>
            <w:tcW w:w="3969" w:type="dxa"/>
            <w:shd w:val="clear" w:color="auto" w:fill="D9D9D9" w:themeFill="background1" w:themeFillShade="D9"/>
          </w:tcPr>
          <w:p w:rsidR="00B40F81" w:rsidRPr="00B9614A" w:rsidRDefault="00F55F59" w:rsidP="005320E2">
            <w:pPr>
              <w:pStyle w:val="ListParagraph"/>
              <w:spacing w:before="40" w:after="40" w:line="240" w:lineRule="auto"/>
              <w:ind w:left="0"/>
              <w:rPr>
                <w:rFonts w:ascii="Arial" w:hAnsi="Arial" w:cs="Arial"/>
                <w:b/>
                <w:sz w:val="24"/>
                <w:szCs w:val="24"/>
              </w:rPr>
            </w:pPr>
            <w:r w:rsidRPr="00B9614A">
              <w:rPr>
                <w:rFonts w:ascii="Arial" w:hAnsi="Arial" w:cs="Arial"/>
                <w:b/>
                <w:sz w:val="24"/>
                <w:szCs w:val="24"/>
              </w:rPr>
              <w:t>Assurance</w:t>
            </w:r>
          </w:p>
        </w:tc>
      </w:tr>
      <w:tr w:rsidR="008A1E58" w:rsidTr="00DE6459">
        <w:tc>
          <w:tcPr>
            <w:tcW w:w="4820" w:type="dxa"/>
          </w:tcPr>
          <w:p w:rsidR="008A1E58" w:rsidRPr="00E51A80" w:rsidRDefault="008A1E58" w:rsidP="00B56044">
            <w:pPr>
              <w:pStyle w:val="ListParagraph"/>
              <w:tabs>
                <w:tab w:val="right" w:pos="4606"/>
              </w:tabs>
              <w:spacing w:before="40" w:after="40" w:line="240" w:lineRule="auto"/>
              <w:ind w:left="0"/>
              <w:rPr>
                <w:rFonts w:ascii="Arial" w:hAnsi="Arial" w:cs="Arial"/>
                <w:sz w:val="22"/>
                <w:szCs w:val="22"/>
              </w:rPr>
            </w:pPr>
            <w:r w:rsidRPr="00E51A80">
              <w:rPr>
                <w:rFonts w:ascii="Arial" w:hAnsi="Arial" w:cs="Arial"/>
                <w:sz w:val="22"/>
                <w:szCs w:val="22"/>
              </w:rPr>
              <w:t>Investment operations</w:t>
            </w:r>
            <w:r>
              <w:rPr>
                <w:rFonts w:ascii="Arial" w:hAnsi="Arial" w:cs="Arial"/>
                <w:sz w:val="22"/>
                <w:szCs w:val="22"/>
              </w:rPr>
              <w:t xml:space="preserve"> </w:t>
            </w:r>
            <w:r>
              <w:rPr>
                <w:rFonts w:ascii="Arial" w:hAnsi="Arial" w:cs="Arial"/>
                <w:sz w:val="22"/>
                <w:szCs w:val="22"/>
              </w:rPr>
              <w:tab/>
            </w:r>
            <w:r w:rsidRPr="00E51A80">
              <w:rPr>
                <w:rFonts w:ascii="Arial" w:hAnsi="Arial" w:cs="Arial"/>
                <w:sz w:val="22"/>
                <w:szCs w:val="22"/>
              </w:rPr>
              <w:t>(2017/18)</w:t>
            </w:r>
          </w:p>
        </w:tc>
        <w:tc>
          <w:tcPr>
            <w:tcW w:w="3969" w:type="dxa"/>
          </w:tcPr>
          <w:p w:rsidR="008A1E58" w:rsidRPr="002D22F8" w:rsidRDefault="008A1E58" w:rsidP="00B56044">
            <w:pPr>
              <w:pStyle w:val="ListParagraph"/>
              <w:spacing w:before="40" w:after="40" w:line="240" w:lineRule="auto"/>
              <w:ind w:left="0"/>
              <w:rPr>
                <w:rFonts w:ascii="Arial" w:hAnsi="Arial" w:cs="Arial"/>
                <w:sz w:val="22"/>
                <w:szCs w:val="22"/>
              </w:rPr>
            </w:pPr>
            <w:r w:rsidRPr="002D22F8">
              <w:rPr>
                <w:rFonts w:ascii="Arial" w:hAnsi="Arial" w:cs="Arial"/>
                <w:sz w:val="22"/>
                <w:szCs w:val="22"/>
              </w:rPr>
              <w:t>Effective with scope for improvement</w:t>
            </w:r>
            <w:r>
              <w:rPr>
                <w:rFonts w:ascii="Arial" w:hAnsi="Arial" w:cs="Arial"/>
                <w:sz w:val="22"/>
                <w:szCs w:val="22"/>
              </w:rPr>
              <w:t xml:space="preserve"> </w:t>
            </w:r>
          </w:p>
        </w:tc>
      </w:tr>
      <w:tr w:rsidR="003B7AE1" w:rsidTr="00DE6459">
        <w:tc>
          <w:tcPr>
            <w:tcW w:w="4820" w:type="dxa"/>
          </w:tcPr>
          <w:p w:rsidR="00B40F81" w:rsidRPr="00E51A80" w:rsidRDefault="00F55F59" w:rsidP="008A1E58">
            <w:pPr>
              <w:pStyle w:val="ListParagraph"/>
              <w:tabs>
                <w:tab w:val="right" w:pos="4606"/>
              </w:tabs>
              <w:spacing w:before="40" w:after="40" w:line="240" w:lineRule="auto"/>
              <w:ind w:left="0"/>
              <w:rPr>
                <w:rFonts w:ascii="Arial" w:hAnsi="Arial" w:cs="Arial"/>
                <w:sz w:val="22"/>
                <w:szCs w:val="22"/>
              </w:rPr>
            </w:pPr>
            <w:r w:rsidRPr="00E51A80">
              <w:rPr>
                <w:rFonts w:ascii="Arial" w:hAnsi="Arial" w:cs="Arial"/>
                <w:sz w:val="22"/>
                <w:szCs w:val="22"/>
              </w:rPr>
              <w:t>GDPR readiness assessment</w:t>
            </w:r>
            <w:r w:rsidR="00C924ED">
              <w:rPr>
                <w:rFonts w:ascii="Arial" w:hAnsi="Arial" w:cs="Arial"/>
                <w:sz w:val="22"/>
                <w:szCs w:val="22"/>
              </w:rPr>
              <w:t xml:space="preserve"> </w:t>
            </w:r>
            <w:r w:rsidR="008A1E58">
              <w:rPr>
                <w:rFonts w:ascii="Arial" w:hAnsi="Arial" w:cs="Arial"/>
                <w:sz w:val="22"/>
                <w:szCs w:val="22"/>
              </w:rPr>
              <w:tab/>
            </w:r>
            <w:r w:rsidR="00C924ED" w:rsidRPr="00E51A80">
              <w:rPr>
                <w:rFonts w:ascii="Arial" w:hAnsi="Arial" w:cs="Arial"/>
                <w:sz w:val="22"/>
                <w:szCs w:val="22"/>
              </w:rPr>
              <w:t>(2018/19)</w:t>
            </w:r>
          </w:p>
        </w:tc>
        <w:tc>
          <w:tcPr>
            <w:tcW w:w="3969" w:type="dxa"/>
          </w:tcPr>
          <w:p w:rsidR="00B40F81" w:rsidRPr="002D22F8" w:rsidRDefault="00F55F59" w:rsidP="00C924ED">
            <w:pPr>
              <w:pStyle w:val="ListParagraph"/>
              <w:spacing w:before="40" w:after="40" w:line="240" w:lineRule="auto"/>
              <w:ind w:left="0"/>
              <w:rPr>
                <w:rFonts w:ascii="Arial" w:hAnsi="Arial" w:cs="Arial"/>
                <w:sz w:val="22"/>
                <w:szCs w:val="22"/>
              </w:rPr>
            </w:pPr>
            <w:r w:rsidRPr="002D22F8">
              <w:rPr>
                <w:rFonts w:ascii="Arial" w:hAnsi="Arial" w:cs="Arial"/>
                <w:sz w:val="22"/>
                <w:szCs w:val="22"/>
              </w:rPr>
              <w:t>Effective with scope for improvement</w:t>
            </w:r>
            <w:r>
              <w:rPr>
                <w:rFonts w:ascii="Arial" w:hAnsi="Arial" w:cs="Arial"/>
                <w:sz w:val="22"/>
                <w:szCs w:val="22"/>
              </w:rPr>
              <w:t xml:space="preserve"> </w:t>
            </w:r>
          </w:p>
        </w:tc>
      </w:tr>
      <w:tr w:rsidR="003B7AE1" w:rsidTr="00DE6459">
        <w:tc>
          <w:tcPr>
            <w:tcW w:w="4820" w:type="dxa"/>
          </w:tcPr>
          <w:p w:rsidR="005404F6" w:rsidRPr="00E51A80" w:rsidRDefault="00F55F59" w:rsidP="008A1E58">
            <w:pPr>
              <w:pStyle w:val="ListParagraph"/>
              <w:tabs>
                <w:tab w:val="right" w:pos="4606"/>
              </w:tabs>
              <w:spacing w:before="40" w:after="40" w:line="240" w:lineRule="auto"/>
              <w:ind w:left="0"/>
              <w:rPr>
                <w:rFonts w:ascii="Arial" w:hAnsi="Arial" w:cs="Arial"/>
                <w:sz w:val="22"/>
                <w:szCs w:val="22"/>
              </w:rPr>
            </w:pPr>
            <w:r w:rsidRPr="00E51A80">
              <w:rPr>
                <w:rFonts w:ascii="Arial" w:hAnsi="Arial" w:cs="Arial"/>
                <w:sz w:val="22"/>
                <w:szCs w:val="22"/>
              </w:rPr>
              <w:t>Investments: Markets in Financial Instruments Directive (</w:t>
            </w:r>
            <w:r>
              <w:rPr>
                <w:rFonts w:ascii="Arial" w:hAnsi="Arial" w:cs="Arial"/>
                <w:sz w:val="22"/>
                <w:szCs w:val="22"/>
              </w:rPr>
              <w:t>'</w:t>
            </w:r>
            <w:r w:rsidRPr="00E51A80">
              <w:rPr>
                <w:rFonts w:ascii="Arial" w:hAnsi="Arial" w:cs="Arial"/>
                <w:sz w:val="22"/>
                <w:szCs w:val="22"/>
              </w:rPr>
              <w:t>MIFID II</w:t>
            </w:r>
            <w:r>
              <w:rPr>
                <w:rFonts w:ascii="Arial" w:hAnsi="Arial" w:cs="Arial"/>
                <w:sz w:val="22"/>
                <w:szCs w:val="22"/>
              </w:rPr>
              <w:t>')</w:t>
            </w:r>
            <w:r w:rsidRPr="00E51A80">
              <w:rPr>
                <w:rFonts w:ascii="Arial" w:hAnsi="Arial" w:cs="Arial"/>
                <w:sz w:val="22"/>
                <w:szCs w:val="22"/>
              </w:rPr>
              <w:t xml:space="preserve"> compliance</w:t>
            </w:r>
            <w:r w:rsidR="00C924ED">
              <w:rPr>
                <w:rFonts w:ascii="Arial" w:hAnsi="Arial" w:cs="Arial"/>
                <w:sz w:val="22"/>
                <w:szCs w:val="22"/>
              </w:rPr>
              <w:t xml:space="preserve"> </w:t>
            </w:r>
            <w:r w:rsidR="008A1E58">
              <w:rPr>
                <w:rFonts w:ascii="Arial" w:hAnsi="Arial" w:cs="Arial"/>
                <w:sz w:val="22"/>
                <w:szCs w:val="22"/>
              </w:rPr>
              <w:tab/>
            </w:r>
            <w:r w:rsidR="00C924ED" w:rsidRPr="00E51A80">
              <w:rPr>
                <w:rFonts w:ascii="Arial" w:hAnsi="Arial" w:cs="Arial"/>
                <w:sz w:val="22"/>
                <w:szCs w:val="22"/>
              </w:rPr>
              <w:t>(2018/19)</w:t>
            </w:r>
          </w:p>
        </w:tc>
        <w:tc>
          <w:tcPr>
            <w:tcW w:w="3969" w:type="dxa"/>
          </w:tcPr>
          <w:p w:rsidR="005404F6" w:rsidRPr="002D22F8" w:rsidRDefault="00F55F59" w:rsidP="008A1E58">
            <w:pPr>
              <w:pStyle w:val="ListParagraph"/>
              <w:spacing w:before="40" w:line="240" w:lineRule="auto"/>
              <w:ind w:left="0"/>
              <w:rPr>
                <w:rFonts w:ascii="Arial" w:hAnsi="Arial" w:cs="Arial"/>
                <w:sz w:val="22"/>
                <w:szCs w:val="22"/>
              </w:rPr>
            </w:pPr>
            <w:r w:rsidRPr="002D22F8">
              <w:rPr>
                <w:rFonts w:ascii="Arial" w:hAnsi="Arial" w:cs="Arial"/>
                <w:sz w:val="22"/>
                <w:szCs w:val="22"/>
              </w:rPr>
              <w:t>Effective</w:t>
            </w:r>
          </w:p>
        </w:tc>
      </w:tr>
    </w:tbl>
    <w:p w:rsidR="00B40F81" w:rsidRDefault="00F55F59" w:rsidP="003558F1">
      <w:pPr>
        <w:pStyle w:val="Rparagraph"/>
        <w:rPr>
          <w:lang w:eastAsia="en-GB"/>
        </w:rPr>
      </w:pPr>
      <w:r>
        <w:t>Deloitte's classification scheme differs slightly from that used by the</w:t>
      </w:r>
      <w:r w:rsidR="008A1E58">
        <w:t xml:space="preserve"> council's </w:t>
      </w:r>
      <w:r>
        <w:t>Internal Audit Service, and an explanation of the assurance provided is set out in section 5 of this report.</w:t>
      </w:r>
    </w:p>
    <w:p w:rsidR="00EE7DE5" w:rsidRDefault="00F55F59" w:rsidP="00C35121">
      <w:pPr>
        <w:pStyle w:val="Rparagraph"/>
        <w:rPr>
          <w:lang w:eastAsia="en-GB"/>
        </w:rPr>
      </w:pPr>
      <w:r>
        <w:t>Deloitte</w:t>
      </w:r>
      <w:r w:rsidR="002B1800">
        <w:t xml:space="preserve">'s </w:t>
      </w:r>
      <w:r w:rsidR="00347CB0">
        <w:t>intention</w:t>
      </w:r>
      <w:r w:rsidR="002B1800">
        <w:t xml:space="preserve"> at the start of the year was to undertake nine audits</w:t>
      </w:r>
      <w:r>
        <w:rPr>
          <w:lang w:eastAsia="en-GB"/>
        </w:rPr>
        <w:t xml:space="preserve"> </w:t>
      </w:r>
      <w:r w:rsidR="002B1800">
        <w:rPr>
          <w:lang w:eastAsia="en-GB"/>
        </w:rPr>
        <w:t>but</w:t>
      </w:r>
      <w:r w:rsidR="00C924ED">
        <w:rPr>
          <w:lang w:eastAsia="en-GB"/>
        </w:rPr>
        <w:t>,</w:t>
      </w:r>
      <w:r w:rsidR="002B1800">
        <w:rPr>
          <w:lang w:eastAsia="en-GB"/>
        </w:rPr>
        <w:t xml:space="preserve"> during the year</w:t>
      </w:r>
      <w:r w:rsidR="00C924ED">
        <w:rPr>
          <w:lang w:eastAsia="en-GB"/>
        </w:rPr>
        <w:t>,</w:t>
      </w:r>
      <w:r w:rsidR="002B1800">
        <w:rPr>
          <w:lang w:eastAsia="en-GB"/>
        </w:rPr>
        <w:t xml:space="preserve"> the audits of </w:t>
      </w:r>
      <w:r w:rsidR="00C924ED">
        <w:rPr>
          <w:lang w:eastAsia="en-GB"/>
        </w:rPr>
        <w:t xml:space="preserve">administration transformation </w:t>
      </w:r>
      <w:r w:rsidR="00C924ED">
        <w:t>(phase 2</w:t>
      </w:r>
      <w:r w:rsidR="00C924ED" w:rsidRPr="004375F7">
        <w:t>)</w:t>
      </w:r>
      <w:r w:rsidR="00C924ED">
        <w:t xml:space="preserve"> </w:t>
      </w:r>
      <w:r w:rsidR="00C924ED">
        <w:rPr>
          <w:lang w:eastAsia="en-GB"/>
        </w:rPr>
        <w:t xml:space="preserve">and of </w:t>
      </w:r>
      <w:r w:rsidR="002B1800">
        <w:rPr>
          <w:lang w:eastAsia="en-GB"/>
        </w:rPr>
        <w:t xml:space="preserve">core systems and infrastructure were removed from the plan. </w:t>
      </w:r>
      <w:r w:rsidR="00C924ED">
        <w:rPr>
          <w:lang w:eastAsia="en-GB"/>
        </w:rPr>
        <w:t>S</w:t>
      </w:r>
      <w:r>
        <w:rPr>
          <w:lang w:eastAsia="en-GB"/>
        </w:rPr>
        <w:t xml:space="preserve">ince only two of </w:t>
      </w:r>
      <w:r w:rsidR="002B1800">
        <w:rPr>
          <w:lang w:eastAsia="en-GB"/>
        </w:rPr>
        <w:t xml:space="preserve">the remaining seven </w:t>
      </w:r>
      <w:r>
        <w:rPr>
          <w:lang w:eastAsia="en-GB"/>
        </w:rPr>
        <w:t>audits have been completed</w:t>
      </w:r>
      <w:r w:rsidR="002B1800">
        <w:rPr>
          <w:lang w:eastAsia="en-GB"/>
        </w:rPr>
        <w:t xml:space="preserve"> and formally reported</w:t>
      </w:r>
      <w:r>
        <w:rPr>
          <w:lang w:eastAsia="en-GB"/>
        </w:rPr>
        <w:t xml:space="preserve">, the assurance that </w:t>
      </w:r>
      <w:r w:rsidR="002B1800">
        <w:rPr>
          <w:lang w:eastAsia="en-GB"/>
        </w:rPr>
        <w:t xml:space="preserve">the council </w:t>
      </w:r>
      <w:r>
        <w:rPr>
          <w:lang w:eastAsia="en-GB"/>
        </w:rPr>
        <w:t>can take over the F</w:t>
      </w:r>
      <w:r w:rsidRPr="007755AD">
        <w:rPr>
          <w:rFonts w:eastAsia="Times New Roman" w:cs="Arial"/>
          <w:lang w:eastAsia="en-GB"/>
        </w:rPr>
        <w:t xml:space="preserve">und’s administration and investment operations outsourced to LPP is limited. </w:t>
      </w:r>
      <w:r w:rsidR="00C924ED">
        <w:rPr>
          <w:rFonts w:eastAsia="Times New Roman" w:cs="Arial"/>
          <w:lang w:eastAsia="en-GB"/>
        </w:rPr>
        <w:t xml:space="preserve">LPP </w:t>
      </w:r>
      <w:r w:rsidRPr="007755AD">
        <w:rPr>
          <w:rFonts w:eastAsia="Times New Roman" w:cs="Arial"/>
          <w:lang w:eastAsia="en-GB"/>
        </w:rPr>
        <w:t xml:space="preserve">is </w:t>
      </w:r>
      <w:r>
        <w:rPr>
          <w:lang w:eastAsia="en-GB"/>
        </w:rPr>
        <w:t xml:space="preserve">expected to report </w:t>
      </w:r>
      <w:r w:rsidR="00C924ED" w:rsidRPr="007755AD">
        <w:rPr>
          <w:rFonts w:eastAsia="Times New Roman" w:cs="Arial"/>
          <w:lang w:eastAsia="en-GB"/>
        </w:rPr>
        <w:t>Deloitte</w:t>
      </w:r>
      <w:r w:rsidR="00C924ED">
        <w:rPr>
          <w:rFonts w:eastAsia="Times New Roman" w:cs="Arial"/>
          <w:lang w:eastAsia="en-GB"/>
        </w:rPr>
        <w:t>'s findings</w:t>
      </w:r>
      <w:r w:rsidR="00C924ED" w:rsidRPr="007755AD">
        <w:rPr>
          <w:rFonts w:eastAsia="Times New Roman" w:cs="Arial"/>
          <w:lang w:eastAsia="en-GB"/>
        </w:rPr>
        <w:t xml:space="preserve"> </w:t>
      </w:r>
      <w:r>
        <w:rPr>
          <w:lang w:eastAsia="en-GB"/>
        </w:rPr>
        <w:t>on the following areas of its plan for 2018/19</w:t>
      </w:r>
      <w:r w:rsidR="002B1800" w:rsidRPr="002B1800">
        <w:rPr>
          <w:lang w:eastAsia="en-GB"/>
        </w:rPr>
        <w:t xml:space="preserve"> </w:t>
      </w:r>
      <w:r w:rsidR="002B1800">
        <w:rPr>
          <w:lang w:eastAsia="en-GB"/>
        </w:rPr>
        <w:t>over the summer of 2019</w:t>
      </w:r>
      <w:r>
        <w:rPr>
          <w:lang w:eastAsia="en-GB"/>
        </w:rPr>
        <w:t>:</w:t>
      </w:r>
    </w:p>
    <w:p w:rsidR="00EE7DE5" w:rsidRPr="004375F7" w:rsidRDefault="00F55F59" w:rsidP="00EE7DE5">
      <w:pPr>
        <w:pStyle w:val="Rbullet"/>
      </w:pPr>
      <w:r w:rsidRPr="004375F7">
        <w:t>Cyber</w:t>
      </w:r>
      <w:r>
        <w:t xml:space="preserve"> </w:t>
      </w:r>
      <w:r w:rsidRPr="004375F7">
        <w:t>security</w:t>
      </w:r>
    </w:p>
    <w:p w:rsidR="00EE7DE5" w:rsidRPr="004375F7" w:rsidRDefault="00F55F59" w:rsidP="00EE7DE5">
      <w:pPr>
        <w:pStyle w:val="Rbullet"/>
      </w:pPr>
      <w:r w:rsidRPr="004375F7">
        <w:t>Core financial controls</w:t>
      </w:r>
      <w:r>
        <w:t>: management information and reporting</w:t>
      </w:r>
    </w:p>
    <w:p w:rsidR="00767ABC" w:rsidRPr="004375F7" w:rsidRDefault="00F55F59" w:rsidP="00767ABC">
      <w:pPr>
        <w:pStyle w:val="Rbullet"/>
      </w:pPr>
      <w:r w:rsidRPr="004375F7">
        <w:t>Investments: third party oversight</w:t>
      </w:r>
    </w:p>
    <w:p w:rsidR="00EE7DE5" w:rsidRPr="004375F7" w:rsidRDefault="00F55F59" w:rsidP="00EE7DE5">
      <w:pPr>
        <w:pStyle w:val="Rbullet"/>
      </w:pPr>
      <w:r w:rsidRPr="004375F7">
        <w:t>Investments: legal and regulatory compliance</w:t>
      </w:r>
    </w:p>
    <w:p w:rsidR="00EE7DE5" w:rsidRPr="004375F7" w:rsidRDefault="00F55F59" w:rsidP="00EE7DE5">
      <w:pPr>
        <w:pStyle w:val="Rbullet"/>
      </w:pPr>
      <w:r w:rsidRPr="004375F7">
        <w:t>Benefits administration</w:t>
      </w:r>
    </w:p>
    <w:p w:rsidR="00F928B8" w:rsidRDefault="00F55F59" w:rsidP="00C07CD8">
      <w:pPr>
        <w:pStyle w:val="Rheading"/>
      </w:pPr>
      <w:r>
        <w:t>Internal audit plans 2019/20</w:t>
      </w:r>
    </w:p>
    <w:p w:rsidR="00C07CD8" w:rsidRDefault="00F55F59" w:rsidP="003558F1">
      <w:pPr>
        <w:pStyle w:val="Rparagraph"/>
      </w:pPr>
      <w:r>
        <w:t xml:space="preserve">The following work relating to the Lancashire County Pension Fund has been included on the </w:t>
      </w:r>
      <w:r w:rsidR="00347CB0">
        <w:t xml:space="preserve">internal </w:t>
      </w:r>
      <w:r>
        <w:t>audit plan for the county council in 2019/20.</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536"/>
      </w:tblGrid>
      <w:tr w:rsidR="003B7AE1" w:rsidTr="00DE6459">
        <w:trPr>
          <w:trHeight w:val="315"/>
          <w:tblHeader/>
        </w:trPr>
        <w:tc>
          <w:tcPr>
            <w:tcW w:w="3969" w:type="dxa"/>
            <w:shd w:val="clear" w:color="auto" w:fill="D9D9D9" w:themeFill="background1" w:themeFillShade="D9"/>
          </w:tcPr>
          <w:p w:rsidR="00C07CD8" w:rsidRPr="00276A31" w:rsidRDefault="00F55F59" w:rsidP="005320E2">
            <w:pPr>
              <w:spacing w:before="60" w:after="60" w:line="240" w:lineRule="auto"/>
              <w:rPr>
                <w:rFonts w:ascii="Arial" w:eastAsia="Times New Roman" w:hAnsi="Arial" w:cs="Arial"/>
                <w:b/>
                <w:bCs/>
                <w:color w:val="000000"/>
                <w:sz w:val="24"/>
                <w:szCs w:val="24"/>
                <w:lang w:eastAsia="en-GB"/>
              </w:rPr>
            </w:pPr>
            <w:r w:rsidRPr="00276A31">
              <w:rPr>
                <w:rFonts w:ascii="Arial" w:eastAsia="Times New Roman" w:hAnsi="Arial" w:cs="Arial"/>
                <w:b/>
                <w:bCs/>
                <w:color w:val="000000"/>
                <w:sz w:val="24"/>
                <w:szCs w:val="24"/>
                <w:lang w:eastAsia="en-GB"/>
              </w:rPr>
              <w:t>Operational area of activity</w:t>
            </w:r>
          </w:p>
        </w:tc>
        <w:tc>
          <w:tcPr>
            <w:tcW w:w="4536" w:type="dxa"/>
            <w:shd w:val="clear" w:color="auto" w:fill="D9D9D9" w:themeFill="background1" w:themeFillShade="D9"/>
            <w:noWrap/>
          </w:tcPr>
          <w:p w:rsidR="00C07CD8" w:rsidRPr="00276A31" w:rsidRDefault="00F55F59" w:rsidP="005320E2">
            <w:pPr>
              <w:spacing w:before="60" w:after="60" w:line="240" w:lineRule="auto"/>
              <w:rPr>
                <w:rFonts w:ascii="Arial" w:eastAsia="Times New Roman" w:hAnsi="Arial" w:cs="Arial"/>
                <w:b/>
                <w:bCs/>
                <w:color w:val="000000"/>
                <w:sz w:val="24"/>
                <w:szCs w:val="24"/>
                <w:lang w:eastAsia="en-GB"/>
              </w:rPr>
            </w:pPr>
            <w:r w:rsidRPr="00276A31">
              <w:rPr>
                <w:rFonts w:ascii="Arial" w:eastAsia="Times New Roman" w:hAnsi="Arial" w:cs="Arial"/>
                <w:b/>
                <w:bCs/>
                <w:color w:val="000000"/>
                <w:sz w:val="24"/>
                <w:szCs w:val="24"/>
                <w:lang w:eastAsia="en-GB"/>
              </w:rPr>
              <w:t>Audit work</w:t>
            </w:r>
          </w:p>
        </w:tc>
      </w:tr>
      <w:tr w:rsidR="003B7AE1" w:rsidTr="00DE6459">
        <w:tc>
          <w:tcPr>
            <w:tcW w:w="3969" w:type="dxa"/>
            <w:tcBorders>
              <w:top w:val="single" w:sz="4" w:space="0" w:color="auto"/>
              <w:left w:val="single" w:sz="4" w:space="0" w:color="auto"/>
              <w:bottom w:val="single" w:sz="4" w:space="0" w:color="auto"/>
              <w:right w:val="single" w:sz="4" w:space="0" w:color="auto"/>
            </w:tcBorders>
            <w:shd w:val="clear" w:color="auto" w:fill="auto"/>
          </w:tcPr>
          <w:p w:rsidR="006F5C75" w:rsidRPr="00B953D0" w:rsidRDefault="00F55F59" w:rsidP="005320E2">
            <w:pPr>
              <w:spacing w:before="60" w:after="6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Collecting contributions from employers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5C75" w:rsidRPr="00B953D0" w:rsidRDefault="00F55F59" w:rsidP="005320E2">
            <w:pPr>
              <w:spacing w:before="60" w:after="6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Assessment of the controls over the collection of contributions from employers.</w:t>
            </w:r>
          </w:p>
        </w:tc>
      </w:tr>
      <w:tr w:rsidR="003B7AE1" w:rsidTr="00DE6459">
        <w:tc>
          <w:tcPr>
            <w:tcW w:w="3969" w:type="dxa"/>
            <w:tcBorders>
              <w:top w:val="single" w:sz="4" w:space="0" w:color="auto"/>
              <w:left w:val="single" w:sz="4" w:space="0" w:color="auto"/>
              <w:bottom w:val="single" w:sz="4" w:space="0" w:color="auto"/>
              <w:right w:val="single" w:sz="4" w:space="0" w:color="auto"/>
            </w:tcBorders>
            <w:shd w:val="clear" w:color="auto" w:fill="auto"/>
          </w:tcPr>
          <w:p w:rsidR="002B793A" w:rsidRPr="00E822AC" w:rsidRDefault="00F55F59" w:rsidP="002B793A">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Employers' satisfaction with the Fund's administration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793A" w:rsidRPr="00E822AC" w:rsidRDefault="00F55F59" w:rsidP="002B793A">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Support to management through an independent survey of the employers' satisfaction with the Fund's administration.</w:t>
            </w:r>
          </w:p>
        </w:tc>
      </w:tr>
      <w:tr w:rsidR="003B7AE1" w:rsidTr="00DE6459">
        <w:tc>
          <w:tcPr>
            <w:tcW w:w="3969" w:type="dxa"/>
            <w:tcBorders>
              <w:top w:val="single" w:sz="4" w:space="0" w:color="auto"/>
              <w:left w:val="single" w:sz="4" w:space="0" w:color="auto"/>
              <w:bottom w:val="single" w:sz="4" w:space="0" w:color="auto"/>
              <w:right w:val="single" w:sz="4" w:space="0" w:color="auto"/>
            </w:tcBorders>
            <w:shd w:val="clear" w:color="auto" w:fill="auto"/>
          </w:tcPr>
          <w:p w:rsidR="006F5C75" w:rsidRPr="00E822AC" w:rsidRDefault="00F55F59" w:rsidP="005320E2">
            <w:pPr>
              <w:spacing w:before="60" w:after="6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Accounting for the Pension Fund through the council's general ledger</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5C75" w:rsidRPr="00E822AC" w:rsidRDefault="00F55F59" w:rsidP="005320E2">
            <w:pPr>
              <w:spacing w:before="60" w:after="60" w:line="240" w:lineRule="auto"/>
              <w:rPr>
                <w:rFonts w:ascii="Arial" w:eastAsia="Times New Roman" w:hAnsi="Arial" w:cs="Arial"/>
                <w:color w:val="000000"/>
                <w:lang w:eastAsia="en-GB"/>
              </w:rPr>
            </w:pPr>
            <w:r w:rsidRPr="00E822AC">
              <w:rPr>
                <w:rFonts w:ascii="Arial" w:eastAsia="Times New Roman" w:hAnsi="Arial" w:cs="Arial"/>
                <w:color w:val="000000"/>
                <w:lang w:eastAsia="en-GB"/>
              </w:rPr>
              <w:t>Compliance testing of key controls</w:t>
            </w:r>
            <w:r>
              <w:rPr>
                <w:rFonts w:ascii="Arial" w:eastAsia="Times New Roman" w:hAnsi="Arial" w:cs="Arial"/>
                <w:color w:val="000000"/>
                <w:lang w:eastAsia="en-GB"/>
              </w:rPr>
              <w:t>.</w:t>
            </w:r>
          </w:p>
        </w:tc>
      </w:tr>
      <w:tr w:rsidR="003B7AE1" w:rsidTr="00DE6459">
        <w:tc>
          <w:tcPr>
            <w:tcW w:w="3969" w:type="dxa"/>
            <w:tcBorders>
              <w:top w:val="single" w:sz="4" w:space="0" w:color="auto"/>
              <w:left w:val="single" w:sz="4" w:space="0" w:color="auto"/>
              <w:bottom w:val="single" w:sz="4" w:space="0" w:color="auto"/>
              <w:right w:val="single" w:sz="4" w:space="0" w:color="auto"/>
            </w:tcBorders>
            <w:shd w:val="clear" w:color="auto" w:fill="auto"/>
          </w:tcPr>
          <w:p w:rsidR="006F5C75" w:rsidRPr="00F71D0C" w:rsidRDefault="00F55F59" w:rsidP="007E3964">
            <w:pPr>
              <w:spacing w:before="60" w:after="60" w:line="240" w:lineRule="auto"/>
              <w:rPr>
                <w:rFonts w:ascii="Arial" w:eastAsia="Times New Roman" w:hAnsi="Arial" w:cs="Arial"/>
                <w:lang w:eastAsia="en-GB"/>
              </w:rPr>
            </w:pPr>
            <w:r>
              <w:rPr>
                <w:rFonts w:ascii="Arial" w:eastAsia="Times New Roman" w:hAnsi="Arial" w:cs="Arial"/>
                <w:color w:val="000000"/>
                <w:lang w:eastAsia="en-GB"/>
              </w:rPr>
              <w:t>LPP's</w:t>
            </w:r>
            <w:r w:rsidRPr="00B953D0">
              <w:rPr>
                <w:rFonts w:ascii="Arial" w:eastAsia="Times New Roman" w:hAnsi="Arial" w:cs="Arial"/>
                <w:color w:val="000000"/>
                <w:lang w:eastAsia="en-GB"/>
              </w:rPr>
              <w:t xml:space="preserve"> compliance with its contractual obligations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5C75" w:rsidRPr="00F71D0C" w:rsidRDefault="00F55F59" w:rsidP="007E3964">
            <w:pPr>
              <w:spacing w:before="60" w:after="60" w:line="240" w:lineRule="auto"/>
              <w:rPr>
                <w:rFonts w:ascii="Arial" w:eastAsia="Times New Roman" w:hAnsi="Arial" w:cs="Arial"/>
                <w:lang w:eastAsia="en-GB"/>
              </w:rPr>
            </w:pPr>
            <w:r w:rsidRPr="00B953D0">
              <w:rPr>
                <w:rFonts w:ascii="Arial" w:eastAsia="Times New Roman" w:hAnsi="Arial" w:cs="Arial"/>
                <w:color w:val="000000"/>
                <w:lang w:eastAsia="en-GB"/>
              </w:rPr>
              <w:t xml:space="preserve">Review of the accuracy of the performance data reported by </w:t>
            </w:r>
            <w:r>
              <w:rPr>
                <w:rFonts w:ascii="Arial" w:eastAsia="Times New Roman" w:hAnsi="Arial" w:cs="Arial"/>
                <w:color w:val="000000"/>
                <w:lang w:eastAsia="en-GB"/>
              </w:rPr>
              <w:t>LPP</w:t>
            </w:r>
            <w:r w:rsidRPr="00B953D0">
              <w:rPr>
                <w:rFonts w:ascii="Arial" w:eastAsia="Times New Roman" w:hAnsi="Arial" w:cs="Arial"/>
                <w:color w:val="000000"/>
                <w:lang w:eastAsia="en-GB"/>
              </w:rPr>
              <w:t xml:space="preserve"> to demonstrate its achievement of </w:t>
            </w:r>
            <w:r>
              <w:rPr>
                <w:rFonts w:ascii="Arial" w:eastAsia="Times New Roman" w:hAnsi="Arial" w:cs="Arial"/>
                <w:color w:val="000000"/>
                <w:lang w:eastAsia="en-GB"/>
              </w:rPr>
              <w:t xml:space="preserve">its </w:t>
            </w:r>
            <w:r w:rsidRPr="00B953D0">
              <w:rPr>
                <w:rFonts w:ascii="Arial" w:eastAsia="Times New Roman" w:hAnsi="Arial" w:cs="Arial"/>
                <w:color w:val="000000"/>
                <w:lang w:eastAsia="en-GB"/>
              </w:rPr>
              <w:t>contractual performance targets.</w:t>
            </w:r>
          </w:p>
        </w:tc>
      </w:tr>
      <w:tr w:rsidR="003B7AE1" w:rsidTr="00DE6459">
        <w:trPr>
          <w:trHeight w:val="828"/>
        </w:trPr>
        <w:tc>
          <w:tcPr>
            <w:tcW w:w="3969" w:type="dxa"/>
            <w:shd w:val="clear" w:color="auto" w:fill="auto"/>
            <w:hideMark/>
          </w:tcPr>
          <w:p w:rsidR="00C07CD8" w:rsidRPr="00E15FEC" w:rsidRDefault="00F55F59" w:rsidP="005320E2">
            <w:pPr>
              <w:spacing w:before="60" w:after="6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Obtaining and understanding the assurance provided by the Pension Fund's own internal auditors.</w:t>
            </w:r>
          </w:p>
        </w:tc>
        <w:tc>
          <w:tcPr>
            <w:tcW w:w="4536" w:type="dxa"/>
            <w:shd w:val="clear" w:color="auto" w:fill="auto"/>
            <w:hideMark/>
          </w:tcPr>
          <w:p w:rsidR="00C07CD8" w:rsidRPr="00E15FEC" w:rsidRDefault="00F55F59" w:rsidP="007E3964">
            <w:pPr>
              <w:spacing w:before="60" w:after="60" w:line="240" w:lineRule="auto"/>
              <w:rPr>
                <w:rFonts w:ascii="Arial" w:eastAsia="Times New Roman" w:hAnsi="Arial" w:cs="Arial"/>
                <w:color w:val="000000"/>
                <w:lang w:eastAsia="en-GB"/>
              </w:rPr>
            </w:pPr>
            <w:r w:rsidRPr="00E15FEC">
              <w:rPr>
                <w:rFonts w:ascii="Arial" w:eastAsia="Times New Roman" w:hAnsi="Arial" w:cs="Arial"/>
                <w:color w:val="000000"/>
                <w:lang w:eastAsia="en-GB"/>
              </w:rPr>
              <w:t xml:space="preserve">Assessment of the assurance provided by Deloitte over the operation of the Fund by </w:t>
            </w:r>
            <w:r>
              <w:rPr>
                <w:rFonts w:ascii="Arial" w:eastAsia="Times New Roman" w:hAnsi="Arial" w:cs="Arial"/>
                <w:color w:val="000000"/>
                <w:lang w:eastAsia="en-GB"/>
              </w:rPr>
              <w:t>LPP</w:t>
            </w:r>
            <w:r w:rsidRPr="00E15FEC">
              <w:rPr>
                <w:rFonts w:ascii="Arial" w:eastAsia="Times New Roman" w:hAnsi="Arial" w:cs="Arial"/>
                <w:color w:val="000000"/>
                <w:lang w:eastAsia="en-GB"/>
              </w:rPr>
              <w:t>.</w:t>
            </w:r>
          </w:p>
        </w:tc>
      </w:tr>
    </w:tbl>
    <w:p w:rsidR="00681518" w:rsidRDefault="00F55F59" w:rsidP="003558F1">
      <w:pPr>
        <w:pStyle w:val="Rparagraph"/>
        <w:rPr>
          <w:lang w:eastAsia="en-GB"/>
        </w:rPr>
      </w:pPr>
      <w:r>
        <w:rPr>
          <w:lang w:eastAsia="en-GB"/>
        </w:rPr>
        <w:lastRenderedPageBreak/>
        <w:t>In addition to completing work for 2018/19, the work that Deloitte plans to undertake for LPP during 2019/20 is as follows:</w:t>
      </w:r>
    </w:p>
    <w:tbl>
      <w:tblPr>
        <w:tblW w:w="86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953"/>
      </w:tblGrid>
      <w:tr w:rsidR="003B7AE1" w:rsidTr="00EE7DE5">
        <w:trPr>
          <w:tblHeader/>
        </w:trPr>
        <w:tc>
          <w:tcPr>
            <w:tcW w:w="2660" w:type="dxa"/>
            <w:shd w:val="clear" w:color="auto" w:fill="F2F2F2" w:themeFill="background1" w:themeFillShade="F2"/>
          </w:tcPr>
          <w:p w:rsidR="00094F8C" w:rsidRPr="001E48A6" w:rsidRDefault="00F55F59" w:rsidP="005320E2">
            <w:pPr>
              <w:pStyle w:val="Default"/>
              <w:spacing w:before="40" w:after="40"/>
              <w:rPr>
                <w:rFonts w:ascii="Arial" w:hAnsi="Arial" w:cs="Arial"/>
                <w:b/>
                <w:bCs/>
                <w:sz w:val="22"/>
                <w:szCs w:val="22"/>
              </w:rPr>
            </w:pPr>
            <w:r w:rsidRPr="001E48A6">
              <w:rPr>
                <w:rFonts w:ascii="Arial" w:hAnsi="Arial" w:cs="Arial"/>
                <w:b/>
                <w:bCs/>
                <w:sz w:val="22"/>
                <w:szCs w:val="22"/>
              </w:rPr>
              <w:t>Coverage</w:t>
            </w:r>
          </w:p>
        </w:tc>
        <w:tc>
          <w:tcPr>
            <w:tcW w:w="5953" w:type="dxa"/>
            <w:shd w:val="clear" w:color="auto" w:fill="F2F2F2" w:themeFill="background1" w:themeFillShade="F2"/>
          </w:tcPr>
          <w:p w:rsidR="00094F8C" w:rsidRPr="001E48A6" w:rsidRDefault="00F55F59" w:rsidP="005320E2">
            <w:pPr>
              <w:pStyle w:val="Default"/>
              <w:spacing w:before="40" w:after="40"/>
              <w:rPr>
                <w:rFonts w:ascii="Arial" w:hAnsi="Arial" w:cs="Arial"/>
                <w:b/>
                <w:sz w:val="22"/>
                <w:szCs w:val="22"/>
              </w:rPr>
            </w:pPr>
            <w:r w:rsidRPr="001E48A6">
              <w:rPr>
                <w:rFonts w:ascii="Arial" w:hAnsi="Arial" w:cs="Arial"/>
                <w:b/>
                <w:sz w:val="22"/>
                <w:szCs w:val="22"/>
              </w:rPr>
              <w:t>Key risk areas</w:t>
            </w:r>
          </w:p>
        </w:tc>
      </w:tr>
      <w:tr w:rsidR="003B7AE1" w:rsidTr="00EE7DE5">
        <w:tc>
          <w:tcPr>
            <w:tcW w:w="2660" w:type="dxa"/>
          </w:tcPr>
          <w:p w:rsidR="007E3964" w:rsidRPr="00D15717" w:rsidRDefault="00F55F59" w:rsidP="00076C0F">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Contributions</w:t>
            </w:r>
          </w:p>
        </w:tc>
        <w:tc>
          <w:tcPr>
            <w:tcW w:w="5953" w:type="dxa"/>
          </w:tcPr>
          <w:p w:rsidR="007E3964" w:rsidRPr="00672C56" w:rsidRDefault="00F55F59" w:rsidP="00076C0F">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A key element of managing the administration of a pension scheme is ensuring that LPP is receiving all the contributions due per the Schedule of Rates.</w:t>
            </w:r>
          </w:p>
        </w:tc>
      </w:tr>
      <w:tr w:rsidR="003B7AE1" w:rsidTr="00EE7DE5">
        <w:tc>
          <w:tcPr>
            <w:tcW w:w="2660" w:type="dxa"/>
            <w:tcBorders>
              <w:top w:val="single" w:sz="4" w:space="0" w:color="auto"/>
              <w:left w:val="single" w:sz="4" w:space="0" w:color="auto"/>
              <w:bottom w:val="single" w:sz="4" w:space="0" w:color="auto"/>
              <w:right w:val="single" w:sz="4" w:space="0" w:color="auto"/>
            </w:tcBorders>
          </w:tcPr>
          <w:p w:rsidR="007E3964" w:rsidRPr="00D15717" w:rsidRDefault="00F55F59" w:rsidP="001E5425">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Benefit administration</w:t>
            </w:r>
          </w:p>
        </w:tc>
        <w:tc>
          <w:tcPr>
            <w:tcW w:w="5953" w:type="dxa"/>
            <w:tcBorders>
              <w:top w:val="single" w:sz="4" w:space="0" w:color="auto"/>
              <w:left w:val="single" w:sz="4" w:space="0" w:color="auto"/>
              <w:bottom w:val="single" w:sz="4" w:space="0" w:color="auto"/>
              <w:right w:val="single" w:sz="4" w:space="0" w:color="auto"/>
            </w:tcBorders>
          </w:tcPr>
          <w:p w:rsidR="007E3964" w:rsidRPr="00D15717" w:rsidRDefault="00F55F59" w:rsidP="001E5425">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There is significant variation in the complexity of benefit awards that the LPP Administration calculates and pays to members of the participating funds. The calculation of these benefits are performed by a number of geographically dispersed teams. This audit will focus on accuracy benefit calculations for retirements at Normal Retirement Age, early retirement, dependent pensions and ill health and approval of payments.</w:t>
            </w:r>
          </w:p>
        </w:tc>
      </w:tr>
      <w:tr w:rsidR="003B7AE1" w:rsidTr="00EE7DE5">
        <w:tc>
          <w:tcPr>
            <w:tcW w:w="2660" w:type="dxa"/>
          </w:tcPr>
          <w:p w:rsidR="008461D7" w:rsidRPr="00D15717" w:rsidRDefault="00F55F59" w:rsidP="005320E2">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Core financial controls</w:t>
            </w:r>
          </w:p>
        </w:tc>
        <w:tc>
          <w:tcPr>
            <w:tcW w:w="5953" w:type="dxa"/>
          </w:tcPr>
          <w:p w:rsidR="008461D7" w:rsidRPr="00672C56" w:rsidRDefault="00F55F59" w:rsidP="005320E2">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The design and operation of core financial controls is essential to enable effective function of LPP. A number of new procedures have been recently implemented to monitor LPP’s cash flow and this will audit will consider these, along with the wider cash flow and liquidity related processes.</w:t>
            </w:r>
          </w:p>
        </w:tc>
      </w:tr>
      <w:tr w:rsidR="003B7AE1" w:rsidTr="00AA63CD">
        <w:tc>
          <w:tcPr>
            <w:tcW w:w="2660" w:type="dxa"/>
            <w:tcBorders>
              <w:top w:val="single" w:sz="4" w:space="0" w:color="auto"/>
            </w:tcBorders>
          </w:tcPr>
          <w:p w:rsidR="00767ABC" w:rsidRPr="00D15717" w:rsidRDefault="00F55F59" w:rsidP="00AA63CD">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 xml:space="preserve">Investment </w:t>
            </w:r>
            <w:r>
              <w:rPr>
                <w:rFonts w:ascii="Arial" w:eastAsia="Times New Roman" w:hAnsi="Arial" w:cs="Arial"/>
                <w:color w:val="000000"/>
                <w:lang w:eastAsia="en-GB"/>
              </w:rPr>
              <w:t>p</w:t>
            </w:r>
            <w:r w:rsidRPr="00D15717">
              <w:rPr>
                <w:rFonts w:ascii="Arial" w:eastAsia="Times New Roman" w:hAnsi="Arial" w:cs="Arial"/>
                <w:color w:val="000000"/>
                <w:lang w:eastAsia="en-GB"/>
              </w:rPr>
              <w:t xml:space="preserve">ortfolio </w:t>
            </w:r>
            <w:r>
              <w:rPr>
                <w:rFonts w:ascii="Arial" w:eastAsia="Times New Roman" w:hAnsi="Arial" w:cs="Arial"/>
                <w:color w:val="000000"/>
                <w:lang w:eastAsia="en-GB"/>
              </w:rPr>
              <w:t>m</w:t>
            </w:r>
            <w:r w:rsidRPr="00D15717">
              <w:rPr>
                <w:rFonts w:ascii="Arial" w:eastAsia="Times New Roman" w:hAnsi="Arial" w:cs="Arial"/>
                <w:color w:val="000000"/>
                <w:lang w:eastAsia="en-GB"/>
              </w:rPr>
              <w:t>onitoring</w:t>
            </w:r>
          </w:p>
        </w:tc>
        <w:tc>
          <w:tcPr>
            <w:tcW w:w="5953" w:type="dxa"/>
            <w:tcBorders>
              <w:top w:val="single" w:sz="4" w:space="0" w:color="auto"/>
            </w:tcBorders>
          </w:tcPr>
          <w:p w:rsidR="00767ABC" w:rsidRPr="00D15717" w:rsidRDefault="00F55F59" w:rsidP="00AA63CD">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 xml:space="preserve">For an investment portfolio to derive the desired returns, ongoing portfolio performance and risk monitoring </w:t>
            </w:r>
            <w:r w:rsidRPr="00EE7DE5">
              <w:rPr>
                <w:rFonts w:ascii="Arial" w:eastAsia="Times New Roman" w:hAnsi="Arial" w:cs="Arial"/>
                <w:lang w:eastAsia="en-GB"/>
              </w:rPr>
              <w:t xml:space="preserve">is essential. It is expected that in March/ April 2019 the new portfolio and order management system will be procured and by December 2019 Local Pension Partnership </w:t>
            </w:r>
            <w:r w:rsidRPr="00D15717">
              <w:rPr>
                <w:rFonts w:ascii="Arial" w:eastAsia="Times New Roman" w:hAnsi="Arial" w:cs="Arial"/>
                <w:color w:val="000000"/>
                <w:lang w:eastAsia="en-GB"/>
              </w:rPr>
              <w:t>I</w:t>
            </w:r>
            <w:r>
              <w:rPr>
                <w:rFonts w:ascii="Arial" w:eastAsia="Times New Roman" w:hAnsi="Arial" w:cs="Arial"/>
                <w:color w:val="000000"/>
                <w:lang w:eastAsia="en-GB"/>
              </w:rPr>
              <w:t>nvestments Ltd</w:t>
            </w:r>
            <w:r w:rsidRPr="00D15717">
              <w:rPr>
                <w:rFonts w:ascii="Arial" w:eastAsia="Times New Roman" w:hAnsi="Arial" w:cs="Arial"/>
                <w:color w:val="000000"/>
                <w:lang w:eastAsia="en-GB"/>
              </w:rPr>
              <w:t xml:space="preserve"> will be operating a combined portfolio model.</w:t>
            </w:r>
          </w:p>
          <w:p w:rsidR="00767ABC" w:rsidRPr="00D15717" w:rsidRDefault="00F55F59" w:rsidP="00AA63CD">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 xml:space="preserve">The audit will consider the processes for ongoing monitoring of portfolio from </w:t>
            </w:r>
            <w:r>
              <w:rPr>
                <w:rFonts w:ascii="Arial" w:eastAsia="Times New Roman" w:hAnsi="Arial" w:cs="Arial"/>
                <w:color w:val="000000"/>
                <w:lang w:eastAsia="en-GB"/>
              </w:rPr>
              <w:t xml:space="preserve">a </w:t>
            </w:r>
            <w:r w:rsidRPr="00D15717">
              <w:rPr>
                <w:rFonts w:ascii="Arial" w:eastAsia="Times New Roman" w:hAnsi="Arial" w:cs="Arial"/>
                <w:color w:val="000000"/>
                <w:lang w:eastAsia="en-GB"/>
              </w:rPr>
              <w:t>risk and return perspective in order to identify the investments that have performance or risk concerns. This review would also asses</w:t>
            </w:r>
            <w:r>
              <w:rPr>
                <w:rFonts w:ascii="Arial" w:eastAsia="Times New Roman" w:hAnsi="Arial" w:cs="Arial"/>
                <w:color w:val="000000"/>
                <w:lang w:eastAsia="en-GB"/>
              </w:rPr>
              <w:t>s</w:t>
            </w:r>
            <w:r w:rsidRPr="00D15717">
              <w:rPr>
                <w:rFonts w:ascii="Arial" w:eastAsia="Times New Roman" w:hAnsi="Arial" w:cs="Arial"/>
                <w:color w:val="000000"/>
                <w:lang w:eastAsia="en-GB"/>
              </w:rPr>
              <w:t xml:space="preserve"> the </w:t>
            </w:r>
            <w:r>
              <w:rPr>
                <w:rFonts w:ascii="Arial" w:eastAsia="Times New Roman" w:hAnsi="Arial" w:cs="Arial"/>
                <w:color w:val="000000"/>
                <w:lang w:eastAsia="en-GB"/>
              </w:rPr>
              <w:t xml:space="preserve">management information </w:t>
            </w:r>
            <w:r w:rsidRPr="00D15717">
              <w:rPr>
                <w:rFonts w:ascii="Arial" w:eastAsia="Times New Roman" w:hAnsi="Arial" w:cs="Arial"/>
                <w:color w:val="000000"/>
                <w:lang w:eastAsia="en-GB"/>
              </w:rPr>
              <w:t>in place, after implementation of the new systems, to report the portfolio performance and risk measurement against the risk limits.</w:t>
            </w:r>
          </w:p>
        </w:tc>
      </w:tr>
      <w:tr w:rsidR="003B7AE1" w:rsidTr="007A4579">
        <w:tc>
          <w:tcPr>
            <w:tcW w:w="2660" w:type="dxa"/>
            <w:tcBorders>
              <w:top w:val="single" w:sz="4" w:space="0" w:color="auto"/>
              <w:bottom w:val="single" w:sz="4" w:space="0" w:color="auto"/>
            </w:tcBorders>
          </w:tcPr>
          <w:p w:rsidR="007755AD" w:rsidRPr="00D15717" w:rsidRDefault="00F55F59" w:rsidP="007A4579">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Senior Managers and Certification Regime (SMCR)</w:t>
            </w:r>
          </w:p>
        </w:tc>
        <w:tc>
          <w:tcPr>
            <w:tcW w:w="5953" w:type="dxa"/>
            <w:tcBorders>
              <w:top w:val="single" w:sz="4" w:space="0" w:color="auto"/>
              <w:bottom w:val="single" w:sz="4" w:space="0" w:color="auto"/>
            </w:tcBorders>
          </w:tcPr>
          <w:p w:rsidR="007755AD" w:rsidRPr="00672C56" w:rsidRDefault="00F55F59" w:rsidP="007A4579">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The extension of the Senior Managers and Certification Regime to almost all regulated firm</w:t>
            </w:r>
            <w:r>
              <w:rPr>
                <w:rFonts w:ascii="Arial" w:eastAsia="Times New Roman" w:hAnsi="Arial" w:cs="Arial"/>
                <w:color w:val="000000"/>
                <w:lang w:eastAsia="en-GB"/>
              </w:rPr>
              <w:t>s</w:t>
            </w:r>
            <w:r w:rsidRPr="00D15717">
              <w:rPr>
                <w:rFonts w:ascii="Arial" w:eastAsia="Times New Roman" w:hAnsi="Arial" w:cs="Arial"/>
                <w:color w:val="000000"/>
                <w:lang w:eastAsia="en-GB"/>
              </w:rPr>
              <w:t xml:space="preserve"> will be implemented on 9 December 2019. This audit will consider management’s plans on implementing SMCR.</w:t>
            </w:r>
          </w:p>
        </w:tc>
      </w:tr>
      <w:tr w:rsidR="003B7AE1" w:rsidTr="00EE7DE5">
        <w:tc>
          <w:tcPr>
            <w:tcW w:w="2660" w:type="dxa"/>
            <w:tcBorders>
              <w:bottom w:val="single" w:sz="4" w:space="0" w:color="auto"/>
            </w:tcBorders>
          </w:tcPr>
          <w:p w:rsidR="008461D7" w:rsidRPr="00D15717" w:rsidRDefault="00F55F59" w:rsidP="005320E2">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Data quality</w:t>
            </w:r>
          </w:p>
        </w:tc>
        <w:tc>
          <w:tcPr>
            <w:tcW w:w="5953" w:type="dxa"/>
            <w:tcBorders>
              <w:bottom w:val="single" w:sz="4" w:space="0" w:color="auto"/>
            </w:tcBorders>
          </w:tcPr>
          <w:p w:rsidR="008461D7" w:rsidRPr="00D15717" w:rsidRDefault="00F55F59" w:rsidP="005320E2">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 xml:space="preserve">In addition to the requirements of the Pensions Regulator, the triennial valuation of the local government pension schemes, as at 31 March 2019, will be undertaken during 2019/20 and therefore </w:t>
            </w:r>
            <w:r>
              <w:rPr>
                <w:rFonts w:ascii="Arial" w:eastAsia="Times New Roman" w:hAnsi="Arial" w:cs="Arial"/>
                <w:color w:val="000000"/>
                <w:lang w:eastAsia="en-GB"/>
              </w:rPr>
              <w:t>i</w:t>
            </w:r>
            <w:r w:rsidRPr="00D15717">
              <w:rPr>
                <w:rFonts w:ascii="Arial" w:eastAsia="Times New Roman" w:hAnsi="Arial" w:cs="Arial"/>
                <w:color w:val="000000"/>
                <w:lang w:eastAsia="en-GB"/>
              </w:rPr>
              <w:t>t is essential that LPP is able to demonstrate that it holds accurate and complete member data and data held in manual spreadsheet reconciles to the data held in Altair. As part of this review we will also consider the process and controls in place to ensure the security of member data held outside of the Altair system.</w:t>
            </w:r>
          </w:p>
        </w:tc>
      </w:tr>
      <w:tr w:rsidR="003B7AE1" w:rsidTr="00FA48B5">
        <w:tc>
          <w:tcPr>
            <w:tcW w:w="2660" w:type="dxa"/>
          </w:tcPr>
          <w:p w:rsidR="007755AD" w:rsidRPr="00D15717" w:rsidRDefault="00F55F59" w:rsidP="00FA48B5">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HR and payroll compliance</w:t>
            </w:r>
          </w:p>
        </w:tc>
        <w:tc>
          <w:tcPr>
            <w:tcW w:w="5953" w:type="dxa"/>
          </w:tcPr>
          <w:p w:rsidR="007755AD" w:rsidRPr="00672C56" w:rsidRDefault="00F55F59" w:rsidP="00FA48B5">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An essential part of delivering LPP’s business model is the maintenance of an effective HR and payroll function.</w:t>
            </w:r>
          </w:p>
        </w:tc>
      </w:tr>
      <w:tr w:rsidR="003B7AE1" w:rsidTr="00101045">
        <w:tc>
          <w:tcPr>
            <w:tcW w:w="2660" w:type="dxa"/>
          </w:tcPr>
          <w:p w:rsidR="007755AD" w:rsidRPr="00D15717" w:rsidRDefault="00F55F59" w:rsidP="00101045">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 xml:space="preserve">Core systems and </w:t>
            </w:r>
            <w:r>
              <w:rPr>
                <w:rFonts w:ascii="Arial" w:eastAsia="Times New Roman" w:hAnsi="Arial" w:cs="Arial"/>
                <w:color w:val="000000"/>
                <w:lang w:eastAsia="en-GB"/>
              </w:rPr>
              <w:t>i</w:t>
            </w:r>
            <w:r w:rsidRPr="00D15717">
              <w:rPr>
                <w:rFonts w:ascii="Arial" w:eastAsia="Times New Roman" w:hAnsi="Arial" w:cs="Arial"/>
                <w:color w:val="000000"/>
                <w:lang w:eastAsia="en-GB"/>
              </w:rPr>
              <w:t xml:space="preserve">nfrastructure </w:t>
            </w:r>
            <w:r>
              <w:rPr>
                <w:rFonts w:ascii="Arial" w:eastAsia="Times New Roman" w:hAnsi="Arial" w:cs="Arial"/>
                <w:color w:val="000000"/>
                <w:lang w:eastAsia="en-GB"/>
              </w:rPr>
              <w:t>(p</w:t>
            </w:r>
            <w:r w:rsidRPr="00D15717">
              <w:rPr>
                <w:rFonts w:ascii="Arial" w:eastAsia="Times New Roman" w:hAnsi="Arial" w:cs="Arial"/>
                <w:color w:val="000000"/>
                <w:lang w:eastAsia="en-GB"/>
              </w:rPr>
              <w:t>hase 2)</w:t>
            </w:r>
          </w:p>
        </w:tc>
        <w:tc>
          <w:tcPr>
            <w:tcW w:w="5953" w:type="dxa"/>
          </w:tcPr>
          <w:p w:rsidR="007755AD" w:rsidRPr="00D15717" w:rsidRDefault="00F55F59" w:rsidP="00101045">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Migration of the LPP network on to a private cloud is a key enabling activity for further change within the LPP businesses.</w:t>
            </w:r>
          </w:p>
        </w:tc>
      </w:tr>
      <w:tr w:rsidR="003B7AE1" w:rsidTr="00EE7DE5">
        <w:tc>
          <w:tcPr>
            <w:tcW w:w="2660" w:type="dxa"/>
            <w:tcBorders>
              <w:top w:val="single" w:sz="4" w:space="0" w:color="auto"/>
              <w:bottom w:val="single" w:sz="4" w:space="0" w:color="auto"/>
            </w:tcBorders>
          </w:tcPr>
          <w:p w:rsidR="00D15717" w:rsidRPr="00D15717" w:rsidRDefault="00F55F59" w:rsidP="005320E2">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lastRenderedPageBreak/>
              <w:t>Covenant reporting</w:t>
            </w:r>
          </w:p>
        </w:tc>
        <w:tc>
          <w:tcPr>
            <w:tcW w:w="5953" w:type="dxa"/>
            <w:tcBorders>
              <w:top w:val="single" w:sz="4" w:space="0" w:color="auto"/>
              <w:bottom w:val="single" w:sz="4" w:space="0" w:color="auto"/>
            </w:tcBorders>
          </w:tcPr>
          <w:p w:rsidR="00D15717" w:rsidRPr="00D15717" w:rsidRDefault="00F55F59" w:rsidP="005320E2">
            <w:pPr>
              <w:spacing w:before="40" w:after="40" w:line="240" w:lineRule="auto"/>
              <w:rPr>
                <w:rFonts w:ascii="Arial" w:eastAsia="Times New Roman" w:hAnsi="Arial" w:cs="Arial"/>
                <w:color w:val="000000"/>
                <w:lang w:eastAsia="en-GB"/>
              </w:rPr>
            </w:pPr>
            <w:r w:rsidRPr="00D15717">
              <w:rPr>
                <w:rFonts w:ascii="Arial" w:eastAsia="Times New Roman" w:hAnsi="Arial" w:cs="Arial"/>
                <w:color w:val="000000"/>
                <w:lang w:eastAsia="en-GB"/>
              </w:rPr>
              <w:t>LPP provides a covenant risk advice to the Shareholder companies to assist the funds in managing their risk of an employer loss event. In order to manage its own risk LPP will need to make sure it has common processes in place to: deliver service; retain sufficient and appropriate evidence for advice given; and communicate finding to shareholders so they can make informed decisions on the level of employer risk they are prepared to accept.</w:t>
            </w:r>
          </w:p>
        </w:tc>
      </w:tr>
    </w:tbl>
    <w:p w:rsidR="00D41E38" w:rsidRPr="002864F0" w:rsidRDefault="00F55F59" w:rsidP="00D41E38">
      <w:pPr>
        <w:pStyle w:val="Rheading"/>
        <w:rPr>
          <w:lang w:eastAsia="en-GB"/>
        </w:rPr>
      </w:pPr>
      <w:r w:rsidRPr="002864F0">
        <w:rPr>
          <w:lang w:eastAsia="en-GB"/>
        </w:rPr>
        <w:t>Audit assurance levels and classification of residual risks</w:t>
      </w:r>
    </w:p>
    <w:p w:rsidR="00D41E38" w:rsidRDefault="00F55F59" w:rsidP="003558F1">
      <w:pPr>
        <w:pStyle w:val="Rparagraph"/>
        <w:rPr>
          <w:b/>
          <w:sz w:val="28"/>
          <w:szCs w:val="28"/>
        </w:rPr>
      </w:pPr>
      <w:r>
        <w:t xml:space="preserve">The assurance levels and classification of risks within Lancashire County Council's Internal Audit Service for 2018/19 are as follows. </w:t>
      </w:r>
    </w:p>
    <w:p w:rsidR="00D41E38" w:rsidRPr="002864F0" w:rsidRDefault="00F55F59" w:rsidP="003558F1">
      <w:pPr>
        <w:pStyle w:val="Rsub-heading"/>
      </w:pPr>
      <w:r w:rsidRPr="002864F0">
        <w:t>Assurance levels</w:t>
      </w:r>
    </w:p>
    <w:p w:rsidR="00046619" w:rsidRPr="005320E2" w:rsidRDefault="00F55F59" w:rsidP="003558F1">
      <w:pPr>
        <w:pStyle w:val="Rquotation"/>
      </w:pPr>
      <w:r>
        <w:t>A</w:t>
      </w:r>
      <w:r w:rsidRPr="00845E96">
        <w:t xml:space="preserve">ssurance may address the adequacy of the control framework's </w:t>
      </w:r>
      <w:r>
        <w:t xml:space="preserve">design, the </w:t>
      </w:r>
      <w:r w:rsidRPr="005320E2">
        <w:t>effectiveness of the controls in operation, or both. The wording below addresses all of these options.</w:t>
      </w:r>
    </w:p>
    <w:p w:rsidR="00046619" w:rsidRPr="005320E2" w:rsidRDefault="00F55F59" w:rsidP="003558F1">
      <w:pPr>
        <w:pStyle w:val="Rquotation"/>
      </w:pPr>
      <w:r w:rsidRPr="004375F7">
        <w:rPr>
          <w:b/>
        </w:rPr>
        <w:t>Substantial assurance</w:t>
      </w:r>
      <w:r w:rsidRPr="005320E2">
        <w:t>: the framework of control is adequately designed and/ or effectively operated.</w:t>
      </w:r>
    </w:p>
    <w:p w:rsidR="00046619" w:rsidRPr="005320E2" w:rsidRDefault="00F55F59" w:rsidP="003558F1">
      <w:pPr>
        <w:pStyle w:val="Rquotation"/>
      </w:pPr>
      <w:r w:rsidRPr="004375F7">
        <w:rPr>
          <w:b/>
        </w:rPr>
        <w:t>Moderate assurance</w:t>
      </w:r>
      <w:r w:rsidRPr="005320E2">
        <w:t>: the framework of control is adequately designed and/ or effectively operated overall, but some action is required to enhance aspects of it and/ or ensure that it is effectively operated throughout the service, system or process.</w:t>
      </w:r>
    </w:p>
    <w:p w:rsidR="00046619" w:rsidRPr="005320E2" w:rsidRDefault="00F55F59" w:rsidP="003558F1">
      <w:pPr>
        <w:pStyle w:val="Rquotation"/>
      </w:pPr>
      <w:r w:rsidRPr="004375F7">
        <w:rPr>
          <w:b/>
        </w:rPr>
        <w:t>Limited assurance</w:t>
      </w:r>
      <w:r w:rsidRPr="005320E2">
        <w:t>: there are some significant weaknesses in the design and/ or operation of the framework of control that put the achievement of the service, system or process' objectives at risk.</w:t>
      </w:r>
    </w:p>
    <w:p w:rsidR="00046619" w:rsidRDefault="00F55F59" w:rsidP="003558F1">
      <w:pPr>
        <w:pStyle w:val="Rquotation"/>
      </w:pPr>
      <w:r w:rsidRPr="004375F7">
        <w:rPr>
          <w:b/>
        </w:rPr>
        <w:t>No assurance</w:t>
      </w:r>
      <w:r w:rsidRPr="005320E2">
        <w:t>: there are some fu</w:t>
      </w:r>
      <w:r>
        <w:t xml:space="preserve">ndamental </w:t>
      </w:r>
      <w:r w:rsidRPr="00282F4A">
        <w:t xml:space="preserve">weaknesses in </w:t>
      </w:r>
      <w:r>
        <w:t>the design</w:t>
      </w:r>
      <w:r w:rsidRPr="00282F4A">
        <w:t xml:space="preserve"> and/</w:t>
      </w:r>
      <w:r>
        <w:t xml:space="preserve"> or operation of the framework of </w:t>
      </w:r>
      <w:r w:rsidRPr="00282F4A">
        <w:t>control</w:t>
      </w:r>
      <w:r>
        <w:t xml:space="preserve"> that </w:t>
      </w:r>
      <w:r w:rsidRPr="00282F4A">
        <w:t>could result</w:t>
      </w:r>
      <w:r>
        <w:t xml:space="preserve"> </w:t>
      </w:r>
      <w:r w:rsidRPr="00282F4A">
        <w:t xml:space="preserve">in failure to achieve </w:t>
      </w:r>
      <w:r>
        <w:t>the service, system or process'</w:t>
      </w:r>
      <w:r w:rsidRPr="00282F4A">
        <w:t xml:space="preserve"> objectives.</w:t>
      </w:r>
    </w:p>
    <w:p w:rsidR="00D41E38" w:rsidRPr="002864F0" w:rsidRDefault="00F55F59" w:rsidP="003558F1">
      <w:pPr>
        <w:pStyle w:val="Rsub-heading"/>
      </w:pPr>
      <w:r w:rsidRPr="002864F0">
        <w:t xml:space="preserve">Classification of residual risks requiring management action </w:t>
      </w:r>
    </w:p>
    <w:p w:rsidR="00046619" w:rsidRPr="00046619" w:rsidRDefault="00F55F59" w:rsidP="003558F1">
      <w:pPr>
        <w:pStyle w:val="Rquotation"/>
        <w:rPr>
          <w:rFonts w:cs="Arial"/>
          <w:b/>
          <w:bCs/>
        </w:rPr>
      </w:pPr>
      <w:r w:rsidRPr="004375F7">
        <w:rPr>
          <w:rFonts w:cs="Arial"/>
          <w:b/>
          <w:bCs/>
        </w:rPr>
        <w:t>Extreme residual risk</w:t>
      </w:r>
      <w:r w:rsidRPr="005320E2">
        <w:t>: critical and urgent in that failure to address the risk could lead to one</w:t>
      </w:r>
      <w:r>
        <w:t xml:space="preserve"> or more of the following: catastrophic loss of the county council's services, loss of </w:t>
      </w:r>
      <w:r w:rsidRPr="00046619">
        <w:t>life, significant environmental damage or significant financial loss, with related national press coverage and substantial damage to the council's reputation. Remedial action must be taken immediately.</w:t>
      </w:r>
    </w:p>
    <w:p w:rsidR="00046619" w:rsidRPr="005320E2" w:rsidRDefault="00F55F59" w:rsidP="003558F1">
      <w:pPr>
        <w:pStyle w:val="Rquotation"/>
      </w:pPr>
      <w:r w:rsidRPr="004375F7">
        <w:rPr>
          <w:rFonts w:cs="Arial"/>
          <w:b/>
          <w:bCs/>
        </w:rPr>
        <w:t>High residual risk</w:t>
      </w:r>
      <w:r w:rsidRPr="005320E2">
        <w:rPr>
          <w:rFonts w:cs="Arial"/>
          <w:bCs/>
        </w:rPr>
        <w:t xml:space="preserve">: </w:t>
      </w:r>
      <w:r w:rsidRPr="005320E2">
        <w:t>critical in that failure to address the issue or progress the work would lead to one or more of the following: failure to achieve organisational objectives, significant disruption to the council's business or to users of its services, significant financial loss, inefficient use of resources, failure to comply with law or regulations, or damage to the council's reputation.  Remedial action must be taken urgently.</w:t>
      </w:r>
    </w:p>
    <w:p w:rsidR="00046619" w:rsidRPr="005320E2" w:rsidRDefault="00F55F59" w:rsidP="003558F1">
      <w:pPr>
        <w:pStyle w:val="Rquotation"/>
      </w:pPr>
      <w:r w:rsidRPr="004375F7">
        <w:rPr>
          <w:rFonts w:cs="Arial"/>
          <w:b/>
          <w:bCs/>
        </w:rPr>
        <w:t>Medium residual risk</w:t>
      </w:r>
      <w:r w:rsidRPr="005320E2">
        <w:rPr>
          <w:rFonts w:cs="Arial"/>
          <w:bCs/>
        </w:rPr>
        <w:t>:</w:t>
      </w:r>
      <w:r>
        <w:rPr>
          <w:rFonts w:cs="Arial"/>
          <w:bCs/>
        </w:rPr>
        <w:t xml:space="preserve"> </w:t>
      </w:r>
      <w:r>
        <w:t xml:space="preserve">failure to address the issue or progress the work could impact on operational </w:t>
      </w:r>
      <w:r w:rsidRPr="00046619">
        <w:t xml:space="preserve">objectives and should be of concern to senior </w:t>
      </w:r>
      <w:r w:rsidRPr="005320E2">
        <w:t>management. Prompt specific action should be taken. </w:t>
      </w:r>
    </w:p>
    <w:p w:rsidR="00B04ACF" w:rsidRPr="00046619" w:rsidRDefault="00F55F59" w:rsidP="003558F1">
      <w:pPr>
        <w:pStyle w:val="Rquotation"/>
      </w:pPr>
      <w:r w:rsidRPr="004375F7">
        <w:rPr>
          <w:rFonts w:cs="Arial"/>
          <w:b/>
          <w:bCs/>
        </w:rPr>
        <w:t>Low residual risk</w:t>
      </w:r>
      <w:r w:rsidRPr="005320E2">
        <w:rPr>
          <w:rFonts w:cs="Arial"/>
          <w:bCs/>
        </w:rPr>
        <w:t xml:space="preserve">: </w:t>
      </w:r>
      <w:r w:rsidRPr="005320E2">
        <w:t>matters that individually have no major impact on achieving the service's objectives</w:t>
      </w:r>
      <w:r w:rsidRPr="00046619">
        <w:t>, but where combined with others could</w:t>
      </w:r>
      <w:r w:rsidRPr="00046619">
        <w:rPr>
          <w:rFonts w:cs="Arial"/>
        </w:rPr>
        <w:t xml:space="preserve"> give cause for concern. </w:t>
      </w:r>
      <w:r w:rsidRPr="00046619">
        <w:rPr>
          <w:rFonts w:cs="Arial"/>
          <w:bCs/>
          <w:iCs/>
        </w:rPr>
        <w:t>Specific remedial action is desirable.</w:t>
      </w:r>
    </w:p>
    <w:p w:rsidR="00D41E38" w:rsidRPr="00F52093" w:rsidRDefault="00F55F59" w:rsidP="003558F1">
      <w:pPr>
        <w:pStyle w:val="Rparagraph"/>
        <w:rPr>
          <w:lang w:eastAsia="en-GB"/>
        </w:rPr>
      </w:pPr>
      <w:r>
        <w:rPr>
          <w:lang w:eastAsia="en-GB"/>
        </w:rPr>
        <w:lastRenderedPageBreak/>
        <w:t xml:space="preserve">The </w:t>
      </w:r>
      <w:r>
        <w:t>overall</w:t>
      </w:r>
      <w:r>
        <w:rPr>
          <w:lang w:eastAsia="en-GB"/>
        </w:rPr>
        <w:t xml:space="preserve"> risk ratings applied by Deloitte to its reports, and the descriptions of risk mitigation and control effectiveness are as follows.</w:t>
      </w:r>
    </w:p>
    <w:tbl>
      <w:tblPr>
        <w:tblStyle w:val="TableGrid"/>
        <w:tblW w:w="0" w:type="auto"/>
        <w:tblInd w:w="454" w:type="dxa"/>
        <w:tblLook w:val="04A0" w:firstRow="1" w:lastRow="0" w:firstColumn="1" w:lastColumn="0" w:noHBand="0" w:noVBand="1"/>
      </w:tblPr>
      <w:tblGrid>
        <w:gridCol w:w="1809"/>
        <w:gridCol w:w="6753"/>
      </w:tblGrid>
      <w:tr w:rsidR="003B7AE1" w:rsidTr="00DE6459">
        <w:trPr>
          <w:tblHeader/>
        </w:trPr>
        <w:tc>
          <w:tcPr>
            <w:tcW w:w="1809" w:type="dxa"/>
            <w:shd w:val="clear" w:color="auto" w:fill="D9D9D9" w:themeFill="background1" w:themeFillShade="D9"/>
          </w:tcPr>
          <w:p w:rsidR="00D41E38" w:rsidRPr="00B510AA" w:rsidRDefault="00F55F59" w:rsidP="005320E2">
            <w:pPr>
              <w:spacing w:before="40" w:after="40"/>
              <w:rPr>
                <w:rFonts w:ascii="Arial" w:hAnsi="Arial" w:cs="Arial"/>
                <w:b/>
                <w:sz w:val="24"/>
                <w:szCs w:val="24"/>
              </w:rPr>
            </w:pPr>
            <w:r>
              <w:rPr>
                <w:rFonts w:ascii="Arial" w:hAnsi="Arial" w:cs="Arial"/>
                <w:b/>
                <w:sz w:val="24"/>
                <w:szCs w:val="24"/>
              </w:rPr>
              <w:t>Overall report r</w:t>
            </w:r>
            <w:r w:rsidRPr="00B510AA">
              <w:rPr>
                <w:rFonts w:ascii="Arial" w:hAnsi="Arial" w:cs="Arial"/>
                <w:b/>
                <w:sz w:val="24"/>
                <w:szCs w:val="24"/>
              </w:rPr>
              <w:t>ating</w:t>
            </w:r>
          </w:p>
        </w:tc>
        <w:tc>
          <w:tcPr>
            <w:tcW w:w="6753" w:type="dxa"/>
            <w:shd w:val="clear" w:color="auto" w:fill="D9D9D9" w:themeFill="background1" w:themeFillShade="D9"/>
          </w:tcPr>
          <w:p w:rsidR="00D41E38" w:rsidRPr="00B510AA" w:rsidRDefault="00F55F59" w:rsidP="005320E2">
            <w:pPr>
              <w:spacing w:before="40" w:after="40"/>
              <w:rPr>
                <w:rFonts w:ascii="Arial" w:hAnsi="Arial" w:cs="Arial"/>
                <w:b/>
                <w:sz w:val="24"/>
                <w:szCs w:val="24"/>
              </w:rPr>
            </w:pPr>
            <w:r w:rsidRPr="00B510AA">
              <w:rPr>
                <w:rFonts w:ascii="Arial" w:hAnsi="Arial" w:cs="Arial"/>
                <w:b/>
                <w:sz w:val="24"/>
                <w:szCs w:val="24"/>
              </w:rPr>
              <w:t>Description of risk mitigation and control effectiveness</w:t>
            </w:r>
          </w:p>
        </w:tc>
      </w:tr>
      <w:tr w:rsidR="003B7AE1" w:rsidTr="00DE6459">
        <w:tc>
          <w:tcPr>
            <w:tcW w:w="1809" w:type="dxa"/>
          </w:tcPr>
          <w:p w:rsidR="00D41E38" w:rsidRDefault="00F55F59" w:rsidP="005320E2">
            <w:pPr>
              <w:spacing w:before="40" w:after="40"/>
              <w:rPr>
                <w:rFonts w:ascii="Arial" w:hAnsi="Arial" w:cs="Arial"/>
                <w:sz w:val="24"/>
                <w:szCs w:val="24"/>
              </w:rPr>
            </w:pPr>
            <w:r>
              <w:rPr>
                <w:rFonts w:ascii="Arial" w:hAnsi="Arial" w:cs="Arial"/>
                <w:sz w:val="24"/>
                <w:szCs w:val="24"/>
              </w:rPr>
              <w:t>Ineffective</w:t>
            </w:r>
          </w:p>
        </w:tc>
        <w:tc>
          <w:tcPr>
            <w:tcW w:w="6753" w:type="dxa"/>
          </w:tcPr>
          <w:p w:rsidR="00D41E38" w:rsidRDefault="00F55F59" w:rsidP="005320E2">
            <w:pPr>
              <w:spacing w:before="40" w:after="40"/>
              <w:rPr>
                <w:rFonts w:ascii="Arial" w:hAnsi="Arial" w:cs="Arial"/>
                <w:sz w:val="24"/>
                <w:szCs w:val="24"/>
              </w:rPr>
            </w:pPr>
            <w:r>
              <w:rPr>
                <w:rFonts w:ascii="Arial" w:hAnsi="Arial" w:cs="Arial"/>
                <w:sz w:val="24"/>
                <w:szCs w:val="24"/>
              </w:rPr>
              <w:t>Risk mitigation or control absent or ineffective – high risk of failure in prevention, detection, and risk mitigation and/ or control activities for audited functions, processes and activities.</w:t>
            </w:r>
          </w:p>
          <w:p w:rsidR="00D41E38" w:rsidRDefault="00F55F59" w:rsidP="005320E2">
            <w:pPr>
              <w:spacing w:before="40" w:after="40"/>
              <w:rPr>
                <w:rFonts w:ascii="Arial" w:hAnsi="Arial" w:cs="Arial"/>
                <w:sz w:val="24"/>
                <w:szCs w:val="24"/>
              </w:rPr>
            </w:pPr>
            <w:r>
              <w:rPr>
                <w:rFonts w:ascii="Arial" w:hAnsi="Arial" w:cs="Arial"/>
                <w:sz w:val="24"/>
                <w:szCs w:val="24"/>
              </w:rPr>
              <w:t>Multiple high priority findings/ issues or significant number of either high or medium priority findings/ issues.</w:t>
            </w:r>
          </w:p>
        </w:tc>
      </w:tr>
      <w:tr w:rsidR="003B7AE1" w:rsidTr="00DE6459">
        <w:tc>
          <w:tcPr>
            <w:tcW w:w="1809" w:type="dxa"/>
          </w:tcPr>
          <w:p w:rsidR="00D41E38" w:rsidRDefault="00F55F59" w:rsidP="005320E2">
            <w:pPr>
              <w:spacing w:before="40" w:after="40"/>
              <w:rPr>
                <w:rFonts w:ascii="Arial" w:hAnsi="Arial" w:cs="Arial"/>
                <w:sz w:val="24"/>
                <w:szCs w:val="24"/>
              </w:rPr>
            </w:pPr>
            <w:r>
              <w:rPr>
                <w:rFonts w:ascii="Arial" w:hAnsi="Arial" w:cs="Arial"/>
                <w:sz w:val="24"/>
                <w:szCs w:val="24"/>
              </w:rPr>
              <w:t>Effective with scope for improvement</w:t>
            </w:r>
          </w:p>
        </w:tc>
        <w:tc>
          <w:tcPr>
            <w:tcW w:w="6753" w:type="dxa"/>
          </w:tcPr>
          <w:p w:rsidR="00D41E38" w:rsidRDefault="00F55F59" w:rsidP="005320E2">
            <w:pPr>
              <w:spacing w:before="40" w:after="40"/>
              <w:rPr>
                <w:rFonts w:ascii="Arial" w:hAnsi="Arial" w:cs="Arial"/>
                <w:sz w:val="24"/>
                <w:szCs w:val="24"/>
              </w:rPr>
            </w:pPr>
            <w:r>
              <w:rPr>
                <w:rFonts w:ascii="Arial" w:hAnsi="Arial" w:cs="Arial"/>
                <w:sz w:val="24"/>
                <w:szCs w:val="24"/>
              </w:rPr>
              <w:t>Risk mitigation activities and controls may be compromised or fail – moderate risk of failure in risk mitigation and control with some need and justification to improve risk mitigation and control activities for audited functions, processes and activities.</w:t>
            </w:r>
          </w:p>
          <w:p w:rsidR="00D41E38" w:rsidRDefault="00F55F59" w:rsidP="005320E2">
            <w:pPr>
              <w:spacing w:before="40" w:after="40"/>
              <w:rPr>
                <w:rFonts w:ascii="Arial" w:hAnsi="Arial" w:cs="Arial"/>
                <w:sz w:val="24"/>
                <w:szCs w:val="24"/>
              </w:rPr>
            </w:pPr>
            <w:r>
              <w:rPr>
                <w:rFonts w:ascii="Arial" w:hAnsi="Arial" w:cs="Arial"/>
                <w:sz w:val="24"/>
                <w:szCs w:val="24"/>
              </w:rPr>
              <w:t>Some high priority issues or a significant number of medium and low priority findings/ issues.</w:t>
            </w:r>
          </w:p>
        </w:tc>
      </w:tr>
      <w:tr w:rsidR="003B7AE1" w:rsidTr="00DE6459">
        <w:tc>
          <w:tcPr>
            <w:tcW w:w="1809" w:type="dxa"/>
          </w:tcPr>
          <w:p w:rsidR="00D41E38" w:rsidRDefault="00F55F59" w:rsidP="005320E2">
            <w:pPr>
              <w:spacing w:before="40" w:after="40"/>
              <w:rPr>
                <w:rFonts w:ascii="Arial" w:hAnsi="Arial" w:cs="Arial"/>
                <w:sz w:val="24"/>
                <w:szCs w:val="24"/>
              </w:rPr>
            </w:pPr>
            <w:r>
              <w:rPr>
                <w:rFonts w:ascii="Arial" w:hAnsi="Arial" w:cs="Arial"/>
                <w:sz w:val="24"/>
                <w:szCs w:val="24"/>
              </w:rPr>
              <w:t>Effective</w:t>
            </w:r>
          </w:p>
        </w:tc>
        <w:tc>
          <w:tcPr>
            <w:tcW w:w="6753" w:type="dxa"/>
          </w:tcPr>
          <w:p w:rsidR="00D41E38" w:rsidRDefault="00F55F59" w:rsidP="005320E2">
            <w:pPr>
              <w:spacing w:before="40" w:after="40"/>
              <w:rPr>
                <w:rFonts w:ascii="Arial" w:hAnsi="Arial" w:cs="Arial"/>
                <w:sz w:val="24"/>
                <w:szCs w:val="24"/>
              </w:rPr>
            </w:pPr>
            <w:r>
              <w:rPr>
                <w:rFonts w:ascii="Arial" w:hAnsi="Arial" w:cs="Arial"/>
                <w:sz w:val="24"/>
                <w:szCs w:val="24"/>
              </w:rPr>
              <w:t>Compliant (adequate in the circumstances) – low risk of failure in risk mitigation and control and some scope or justification to improve risk mitigation and control activities for audited functions, processes and activities.</w:t>
            </w:r>
          </w:p>
          <w:p w:rsidR="00D41E38" w:rsidRDefault="00F55F59" w:rsidP="005320E2">
            <w:pPr>
              <w:spacing w:before="40" w:after="40"/>
              <w:rPr>
                <w:rFonts w:ascii="Arial" w:hAnsi="Arial" w:cs="Arial"/>
                <w:sz w:val="24"/>
                <w:szCs w:val="24"/>
              </w:rPr>
            </w:pPr>
            <w:r>
              <w:rPr>
                <w:rFonts w:ascii="Arial" w:hAnsi="Arial" w:cs="Arial"/>
                <w:sz w:val="24"/>
                <w:szCs w:val="24"/>
              </w:rPr>
              <w:t>No high priority findings/ issues. Some moderate and low priority findings/ issues.</w:t>
            </w:r>
          </w:p>
        </w:tc>
      </w:tr>
    </w:tbl>
    <w:p w:rsidR="00D41E38" w:rsidRDefault="00DE6459" w:rsidP="003558F1">
      <w:pPr>
        <w:pStyle w:val="Rblankparagraph"/>
      </w:pPr>
    </w:p>
    <w:tbl>
      <w:tblPr>
        <w:tblStyle w:val="TableGrid"/>
        <w:tblW w:w="0" w:type="auto"/>
        <w:tblInd w:w="454" w:type="dxa"/>
        <w:tblLook w:val="04A0" w:firstRow="1" w:lastRow="0" w:firstColumn="1" w:lastColumn="0" w:noHBand="0" w:noVBand="1"/>
      </w:tblPr>
      <w:tblGrid>
        <w:gridCol w:w="1809"/>
        <w:gridCol w:w="6753"/>
      </w:tblGrid>
      <w:tr w:rsidR="003B7AE1" w:rsidTr="00D41E38">
        <w:trPr>
          <w:tblHeader/>
        </w:trPr>
        <w:tc>
          <w:tcPr>
            <w:tcW w:w="1809" w:type="dxa"/>
            <w:shd w:val="clear" w:color="auto" w:fill="D9D9D9" w:themeFill="background1" w:themeFillShade="D9"/>
          </w:tcPr>
          <w:p w:rsidR="00D41E38" w:rsidRPr="00B510AA" w:rsidRDefault="00F55F59" w:rsidP="005320E2">
            <w:pPr>
              <w:spacing w:before="40" w:after="40"/>
              <w:rPr>
                <w:rFonts w:ascii="Arial" w:hAnsi="Arial" w:cs="Arial"/>
                <w:b/>
                <w:sz w:val="24"/>
                <w:szCs w:val="24"/>
              </w:rPr>
            </w:pPr>
            <w:r w:rsidRPr="00B510AA">
              <w:rPr>
                <w:rFonts w:ascii="Arial" w:hAnsi="Arial" w:cs="Arial"/>
                <w:b/>
                <w:sz w:val="24"/>
                <w:szCs w:val="24"/>
              </w:rPr>
              <w:t>R</w:t>
            </w:r>
            <w:r>
              <w:rPr>
                <w:rFonts w:ascii="Arial" w:hAnsi="Arial" w:cs="Arial"/>
                <w:b/>
                <w:sz w:val="24"/>
                <w:szCs w:val="24"/>
              </w:rPr>
              <w:t>isk r</w:t>
            </w:r>
            <w:r w:rsidRPr="00B510AA">
              <w:rPr>
                <w:rFonts w:ascii="Arial" w:hAnsi="Arial" w:cs="Arial"/>
                <w:b/>
                <w:sz w:val="24"/>
                <w:szCs w:val="24"/>
              </w:rPr>
              <w:t>ating</w:t>
            </w:r>
          </w:p>
        </w:tc>
        <w:tc>
          <w:tcPr>
            <w:tcW w:w="6753" w:type="dxa"/>
            <w:shd w:val="clear" w:color="auto" w:fill="D9D9D9" w:themeFill="background1" w:themeFillShade="D9"/>
          </w:tcPr>
          <w:p w:rsidR="00D41E38" w:rsidRPr="00B510AA" w:rsidRDefault="00F55F59" w:rsidP="005320E2">
            <w:pPr>
              <w:spacing w:before="40" w:after="40"/>
              <w:rPr>
                <w:rFonts w:ascii="Arial" w:hAnsi="Arial" w:cs="Arial"/>
                <w:b/>
                <w:sz w:val="24"/>
                <w:szCs w:val="24"/>
              </w:rPr>
            </w:pPr>
            <w:r w:rsidRPr="00B510AA">
              <w:rPr>
                <w:rFonts w:ascii="Arial" w:hAnsi="Arial" w:cs="Arial"/>
                <w:b/>
                <w:sz w:val="24"/>
                <w:szCs w:val="24"/>
              </w:rPr>
              <w:t>Description of risk mitigation and control effectiveness</w:t>
            </w:r>
          </w:p>
        </w:tc>
      </w:tr>
      <w:tr w:rsidR="003B7AE1" w:rsidTr="00D41E38">
        <w:tc>
          <w:tcPr>
            <w:tcW w:w="1809" w:type="dxa"/>
          </w:tcPr>
          <w:p w:rsidR="00D41E38" w:rsidRDefault="00F55F59" w:rsidP="005320E2">
            <w:pPr>
              <w:spacing w:before="40" w:after="40"/>
              <w:rPr>
                <w:rFonts w:ascii="Arial" w:hAnsi="Arial" w:cs="Arial"/>
                <w:sz w:val="24"/>
                <w:szCs w:val="24"/>
              </w:rPr>
            </w:pPr>
            <w:r>
              <w:rPr>
                <w:rFonts w:ascii="Arial" w:hAnsi="Arial" w:cs="Arial"/>
                <w:sz w:val="24"/>
                <w:szCs w:val="24"/>
              </w:rPr>
              <w:t>High</w:t>
            </w:r>
          </w:p>
        </w:tc>
        <w:tc>
          <w:tcPr>
            <w:tcW w:w="6753" w:type="dxa"/>
          </w:tcPr>
          <w:p w:rsidR="00D41E38" w:rsidRDefault="00F55F59" w:rsidP="005320E2">
            <w:pPr>
              <w:spacing w:before="40" w:after="40"/>
              <w:rPr>
                <w:rFonts w:ascii="Arial" w:hAnsi="Arial" w:cs="Arial"/>
                <w:sz w:val="24"/>
                <w:szCs w:val="24"/>
              </w:rPr>
            </w:pPr>
            <w:r>
              <w:rPr>
                <w:rFonts w:ascii="Arial" w:hAnsi="Arial" w:cs="Arial"/>
                <w:sz w:val="24"/>
                <w:szCs w:val="24"/>
              </w:rPr>
              <w:t>The issue presents a risk that involves a direct exposure to significant assets or a significant potential financial loss. Lack of appropriate controls could have a considerable impact on operations, compliance with laws and regulations, or financial results.</w:t>
            </w:r>
          </w:p>
        </w:tc>
      </w:tr>
      <w:tr w:rsidR="003B7AE1" w:rsidTr="00D41E38">
        <w:tc>
          <w:tcPr>
            <w:tcW w:w="1809" w:type="dxa"/>
          </w:tcPr>
          <w:p w:rsidR="00D41E38" w:rsidRDefault="00F55F59" w:rsidP="005320E2">
            <w:pPr>
              <w:spacing w:before="40" w:after="40"/>
              <w:rPr>
                <w:rFonts w:ascii="Arial" w:hAnsi="Arial" w:cs="Arial"/>
                <w:sz w:val="24"/>
                <w:szCs w:val="24"/>
              </w:rPr>
            </w:pPr>
            <w:r>
              <w:rPr>
                <w:rFonts w:ascii="Arial" w:hAnsi="Arial" w:cs="Arial"/>
                <w:sz w:val="24"/>
                <w:szCs w:val="24"/>
              </w:rPr>
              <w:t>Medium</w:t>
            </w:r>
          </w:p>
        </w:tc>
        <w:tc>
          <w:tcPr>
            <w:tcW w:w="6753" w:type="dxa"/>
          </w:tcPr>
          <w:p w:rsidR="00D41E38" w:rsidRDefault="00F55F59" w:rsidP="005320E2">
            <w:pPr>
              <w:spacing w:before="40" w:after="40"/>
              <w:rPr>
                <w:rFonts w:ascii="Arial" w:hAnsi="Arial" w:cs="Arial"/>
                <w:sz w:val="24"/>
                <w:szCs w:val="24"/>
              </w:rPr>
            </w:pPr>
            <w:r>
              <w:rPr>
                <w:rFonts w:ascii="Arial" w:hAnsi="Arial" w:cs="Arial"/>
                <w:sz w:val="24"/>
                <w:szCs w:val="24"/>
              </w:rPr>
              <w:t>The issue presents a risk, which involves an indirect exposure to significant assets and could have a moderate impact on operations, compliance with laws and regulations, or financial results.</w:t>
            </w:r>
          </w:p>
        </w:tc>
      </w:tr>
      <w:tr w:rsidR="003B7AE1" w:rsidTr="00D41E38">
        <w:tc>
          <w:tcPr>
            <w:tcW w:w="1809" w:type="dxa"/>
          </w:tcPr>
          <w:p w:rsidR="00D41E38" w:rsidRDefault="00F55F59" w:rsidP="005320E2">
            <w:pPr>
              <w:spacing w:before="40" w:after="40"/>
              <w:rPr>
                <w:rFonts w:ascii="Arial" w:hAnsi="Arial" w:cs="Arial"/>
                <w:sz w:val="24"/>
                <w:szCs w:val="24"/>
              </w:rPr>
            </w:pPr>
            <w:r>
              <w:rPr>
                <w:rFonts w:ascii="Arial" w:hAnsi="Arial" w:cs="Arial"/>
                <w:sz w:val="24"/>
                <w:szCs w:val="24"/>
              </w:rPr>
              <w:t>Low</w:t>
            </w:r>
          </w:p>
        </w:tc>
        <w:tc>
          <w:tcPr>
            <w:tcW w:w="6753" w:type="dxa"/>
          </w:tcPr>
          <w:p w:rsidR="00D41E38" w:rsidRDefault="00F55F59" w:rsidP="005320E2">
            <w:pPr>
              <w:spacing w:before="40" w:after="40"/>
              <w:rPr>
                <w:rFonts w:ascii="Arial" w:hAnsi="Arial" w:cs="Arial"/>
                <w:sz w:val="24"/>
                <w:szCs w:val="24"/>
              </w:rPr>
            </w:pPr>
            <w:r>
              <w:rPr>
                <w:rFonts w:ascii="Arial" w:hAnsi="Arial" w:cs="Arial"/>
                <w:sz w:val="24"/>
                <w:szCs w:val="24"/>
              </w:rPr>
              <w:t>The issue and associated risks have limited impact on operations, compliance with laws and regulations, or financial results.</w:t>
            </w:r>
          </w:p>
        </w:tc>
      </w:tr>
    </w:tbl>
    <w:p w:rsidR="00D41E38" w:rsidRPr="00873C5A" w:rsidRDefault="00DE6459" w:rsidP="003558F1">
      <w:pPr>
        <w:pStyle w:val="Rblankparagraph"/>
      </w:pPr>
    </w:p>
    <w:sectPr w:rsidR="00D41E38" w:rsidRPr="00873C5A" w:rsidSect="008A1E58">
      <w:headerReference w:type="default" r:id="rId8"/>
      <w:footerReference w:type="default" r:id="rId9"/>
      <w:pgSz w:w="11906" w:h="16838" w:code="9"/>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2D8" w:rsidRDefault="00F55F59">
      <w:pPr>
        <w:spacing w:after="0" w:line="240" w:lineRule="auto"/>
      </w:pPr>
      <w:r>
        <w:separator/>
      </w:r>
    </w:p>
  </w:endnote>
  <w:endnote w:type="continuationSeparator" w:id="0">
    <w:p w:rsidR="008E22D8" w:rsidRDefault="00F5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4A4" w:rsidRPr="004224A4" w:rsidRDefault="00DE6459" w:rsidP="004224A4">
    <w:pPr>
      <w:pStyle w:val="Footer"/>
      <w:jc w:val="right"/>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2D8" w:rsidRDefault="00F55F59">
      <w:pPr>
        <w:spacing w:after="0" w:line="240" w:lineRule="auto"/>
      </w:pPr>
      <w:r>
        <w:separator/>
      </w:r>
    </w:p>
  </w:footnote>
  <w:footnote w:type="continuationSeparator" w:id="0">
    <w:p w:rsidR="008E22D8" w:rsidRDefault="00F55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E7A" w:rsidRPr="008461D7" w:rsidRDefault="00F55F59">
    <w:pPr>
      <w:pStyle w:val="Header"/>
      <w:rPr>
        <w:rFonts w:ascii="Arial" w:hAnsi="Arial" w:cs="Arial"/>
        <w:b/>
        <w:sz w:val="20"/>
        <w:szCs w:val="20"/>
      </w:rPr>
    </w:pPr>
    <w:r w:rsidRPr="008461D7">
      <w:rPr>
        <w:rFonts w:ascii="Arial" w:hAnsi="Arial" w:cs="Arial"/>
        <w:b/>
        <w:sz w:val="20"/>
        <w:szCs w:val="20"/>
      </w:rPr>
      <w:t>Internal audit assurance for the Pension Fund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4213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460A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63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2AB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20C7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9EFC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704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F4C0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EEC44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1A4062"/>
    <w:multiLevelType w:val="hybridMultilevel"/>
    <w:tmpl w:val="513AA548"/>
    <w:lvl w:ilvl="0" w:tplc="B70CDEAE">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330A5406" w:tentative="1">
      <w:start w:val="1"/>
      <w:numFmt w:val="lowerLetter"/>
      <w:lvlText w:val="%2."/>
      <w:lvlJc w:val="left"/>
      <w:pPr>
        <w:ind w:left="1440" w:hanging="360"/>
      </w:pPr>
    </w:lvl>
    <w:lvl w:ilvl="2" w:tplc="CB52AE52" w:tentative="1">
      <w:start w:val="1"/>
      <w:numFmt w:val="lowerRoman"/>
      <w:lvlText w:val="%3."/>
      <w:lvlJc w:val="right"/>
      <w:pPr>
        <w:ind w:left="2160" w:hanging="180"/>
      </w:pPr>
    </w:lvl>
    <w:lvl w:ilvl="3" w:tplc="13B68074" w:tentative="1">
      <w:start w:val="1"/>
      <w:numFmt w:val="decimal"/>
      <w:lvlText w:val="%4."/>
      <w:lvlJc w:val="left"/>
      <w:pPr>
        <w:ind w:left="2880" w:hanging="360"/>
      </w:pPr>
    </w:lvl>
    <w:lvl w:ilvl="4" w:tplc="59A21C2A" w:tentative="1">
      <w:start w:val="1"/>
      <w:numFmt w:val="lowerLetter"/>
      <w:lvlText w:val="%5."/>
      <w:lvlJc w:val="left"/>
      <w:pPr>
        <w:ind w:left="3600" w:hanging="360"/>
      </w:pPr>
    </w:lvl>
    <w:lvl w:ilvl="5" w:tplc="D2C21C0C" w:tentative="1">
      <w:start w:val="1"/>
      <w:numFmt w:val="lowerRoman"/>
      <w:lvlText w:val="%6."/>
      <w:lvlJc w:val="right"/>
      <w:pPr>
        <w:ind w:left="4320" w:hanging="180"/>
      </w:pPr>
    </w:lvl>
    <w:lvl w:ilvl="6" w:tplc="7F74158E" w:tentative="1">
      <w:start w:val="1"/>
      <w:numFmt w:val="decimal"/>
      <w:lvlText w:val="%7."/>
      <w:lvlJc w:val="left"/>
      <w:pPr>
        <w:ind w:left="5040" w:hanging="360"/>
      </w:pPr>
    </w:lvl>
    <w:lvl w:ilvl="7" w:tplc="5D0AA196" w:tentative="1">
      <w:start w:val="1"/>
      <w:numFmt w:val="lowerLetter"/>
      <w:lvlText w:val="%8."/>
      <w:lvlJc w:val="left"/>
      <w:pPr>
        <w:ind w:left="5760" w:hanging="360"/>
      </w:pPr>
    </w:lvl>
    <w:lvl w:ilvl="8" w:tplc="7D021E8E" w:tentative="1">
      <w:start w:val="1"/>
      <w:numFmt w:val="lowerRoman"/>
      <w:lvlText w:val="%9."/>
      <w:lvlJc w:val="right"/>
      <w:pPr>
        <w:ind w:left="6480" w:hanging="180"/>
      </w:pPr>
    </w:lvl>
  </w:abstractNum>
  <w:abstractNum w:abstractNumId="11"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2" w15:restartNumberingAfterBreak="0">
    <w:nsid w:val="19DC4E83"/>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8263D7"/>
    <w:multiLevelType w:val="hybridMultilevel"/>
    <w:tmpl w:val="D8AE05B0"/>
    <w:lvl w:ilvl="0" w:tplc="FDBE2130">
      <w:start w:val="1"/>
      <w:numFmt w:val="bullet"/>
      <w:lvlText w:val=""/>
      <w:lvlJc w:val="left"/>
      <w:pPr>
        <w:ind w:left="1287" w:hanging="360"/>
      </w:pPr>
      <w:rPr>
        <w:rFonts w:ascii="Symbol" w:hAnsi="Symbol" w:hint="default"/>
      </w:rPr>
    </w:lvl>
    <w:lvl w:ilvl="1" w:tplc="829AF342">
      <w:start w:val="1"/>
      <w:numFmt w:val="bullet"/>
      <w:lvlText w:val="o"/>
      <w:lvlJc w:val="left"/>
      <w:pPr>
        <w:ind w:left="2007" w:hanging="360"/>
      </w:pPr>
      <w:rPr>
        <w:rFonts w:ascii="Courier New" w:hAnsi="Courier New" w:cs="Courier New" w:hint="default"/>
      </w:rPr>
    </w:lvl>
    <w:lvl w:ilvl="2" w:tplc="AC560888" w:tentative="1">
      <w:start w:val="1"/>
      <w:numFmt w:val="bullet"/>
      <w:lvlText w:val=""/>
      <w:lvlJc w:val="left"/>
      <w:pPr>
        <w:ind w:left="2727" w:hanging="360"/>
      </w:pPr>
      <w:rPr>
        <w:rFonts w:ascii="Wingdings" w:hAnsi="Wingdings" w:hint="default"/>
      </w:rPr>
    </w:lvl>
    <w:lvl w:ilvl="3" w:tplc="B9BCE26C" w:tentative="1">
      <w:start w:val="1"/>
      <w:numFmt w:val="bullet"/>
      <w:lvlText w:val=""/>
      <w:lvlJc w:val="left"/>
      <w:pPr>
        <w:ind w:left="3447" w:hanging="360"/>
      </w:pPr>
      <w:rPr>
        <w:rFonts w:ascii="Symbol" w:hAnsi="Symbol" w:hint="default"/>
      </w:rPr>
    </w:lvl>
    <w:lvl w:ilvl="4" w:tplc="EF1A7DA8" w:tentative="1">
      <w:start w:val="1"/>
      <w:numFmt w:val="bullet"/>
      <w:lvlText w:val="o"/>
      <w:lvlJc w:val="left"/>
      <w:pPr>
        <w:ind w:left="4167" w:hanging="360"/>
      </w:pPr>
      <w:rPr>
        <w:rFonts w:ascii="Courier New" w:hAnsi="Courier New" w:cs="Courier New" w:hint="default"/>
      </w:rPr>
    </w:lvl>
    <w:lvl w:ilvl="5" w:tplc="39D86568" w:tentative="1">
      <w:start w:val="1"/>
      <w:numFmt w:val="bullet"/>
      <w:lvlText w:val=""/>
      <w:lvlJc w:val="left"/>
      <w:pPr>
        <w:ind w:left="4887" w:hanging="360"/>
      </w:pPr>
      <w:rPr>
        <w:rFonts w:ascii="Wingdings" w:hAnsi="Wingdings" w:hint="default"/>
      </w:rPr>
    </w:lvl>
    <w:lvl w:ilvl="6" w:tplc="E33E7B1A" w:tentative="1">
      <w:start w:val="1"/>
      <w:numFmt w:val="bullet"/>
      <w:lvlText w:val=""/>
      <w:lvlJc w:val="left"/>
      <w:pPr>
        <w:ind w:left="5607" w:hanging="360"/>
      </w:pPr>
      <w:rPr>
        <w:rFonts w:ascii="Symbol" w:hAnsi="Symbol" w:hint="default"/>
      </w:rPr>
    </w:lvl>
    <w:lvl w:ilvl="7" w:tplc="10B65684" w:tentative="1">
      <w:start w:val="1"/>
      <w:numFmt w:val="bullet"/>
      <w:lvlText w:val="o"/>
      <w:lvlJc w:val="left"/>
      <w:pPr>
        <w:ind w:left="6327" w:hanging="360"/>
      </w:pPr>
      <w:rPr>
        <w:rFonts w:ascii="Courier New" w:hAnsi="Courier New" w:cs="Courier New" w:hint="default"/>
      </w:rPr>
    </w:lvl>
    <w:lvl w:ilvl="8" w:tplc="996EA8E8" w:tentative="1">
      <w:start w:val="1"/>
      <w:numFmt w:val="bullet"/>
      <w:lvlText w:val=""/>
      <w:lvlJc w:val="left"/>
      <w:pPr>
        <w:ind w:left="7047" w:hanging="360"/>
      </w:pPr>
      <w:rPr>
        <w:rFonts w:ascii="Wingdings" w:hAnsi="Wingdings" w:hint="default"/>
      </w:rPr>
    </w:lvl>
  </w:abstractNum>
  <w:abstractNum w:abstractNumId="14" w15:restartNumberingAfterBreak="0">
    <w:nsid w:val="47C75BDA"/>
    <w:multiLevelType w:val="hybridMultilevel"/>
    <w:tmpl w:val="27E6247C"/>
    <w:lvl w:ilvl="0" w:tplc="D368BFC4">
      <w:start w:val="1"/>
      <w:numFmt w:val="bullet"/>
      <w:pStyle w:val="Rbullet"/>
      <w:lvlText w:val=""/>
      <w:lvlJc w:val="left"/>
      <w:pPr>
        <w:ind w:left="1440" w:hanging="360"/>
      </w:pPr>
      <w:rPr>
        <w:rFonts w:ascii="Symbol" w:hAnsi="Symbol" w:hint="default"/>
      </w:rPr>
    </w:lvl>
    <w:lvl w:ilvl="1" w:tplc="43C0679E" w:tentative="1">
      <w:start w:val="1"/>
      <w:numFmt w:val="bullet"/>
      <w:lvlText w:val="o"/>
      <w:lvlJc w:val="left"/>
      <w:pPr>
        <w:ind w:left="2160" w:hanging="360"/>
      </w:pPr>
      <w:rPr>
        <w:rFonts w:ascii="Courier New" w:hAnsi="Courier New" w:cs="Courier New" w:hint="default"/>
      </w:rPr>
    </w:lvl>
    <w:lvl w:ilvl="2" w:tplc="AB3CC29A" w:tentative="1">
      <w:start w:val="1"/>
      <w:numFmt w:val="bullet"/>
      <w:lvlText w:val=""/>
      <w:lvlJc w:val="left"/>
      <w:pPr>
        <w:ind w:left="2880" w:hanging="360"/>
      </w:pPr>
      <w:rPr>
        <w:rFonts w:ascii="Wingdings" w:hAnsi="Wingdings" w:hint="default"/>
      </w:rPr>
    </w:lvl>
    <w:lvl w:ilvl="3" w:tplc="26ACF008" w:tentative="1">
      <w:start w:val="1"/>
      <w:numFmt w:val="bullet"/>
      <w:lvlText w:val=""/>
      <w:lvlJc w:val="left"/>
      <w:pPr>
        <w:ind w:left="3600" w:hanging="360"/>
      </w:pPr>
      <w:rPr>
        <w:rFonts w:ascii="Symbol" w:hAnsi="Symbol" w:hint="default"/>
      </w:rPr>
    </w:lvl>
    <w:lvl w:ilvl="4" w:tplc="FD28A6E6" w:tentative="1">
      <w:start w:val="1"/>
      <w:numFmt w:val="bullet"/>
      <w:lvlText w:val="o"/>
      <w:lvlJc w:val="left"/>
      <w:pPr>
        <w:ind w:left="4320" w:hanging="360"/>
      </w:pPr>
      <w:rPr>
        <w:rFonts w:ascii="Courier New" w:hAnsi="Courier New" w:cs="Courier New" w:hint="default"/>
      </w:rPr>
    </w:lvl>
    <w:lvl w:ilvl="5" w:tplc="5AE2EB44" w:tentative="1">
      <w:start w:val="1"/>
      <w:numFmt w:val="bullet"/>
      <w:lvlText w:val=""/>
      <w:lvlJc w:val="left"/>
      <w:pPr>
        <w:ind w:left="5040" w:hanging="360"/>
      </w:pPr>
      <w:rPr>
        <w:rFonts w:ascii="Wingdings" w:hAnsi="Wingdings" w:hint="default"/>
      </w:rPr>
    </w:lvl>
    <w:lvl w:ilvl="6" w:tplc="556C9D6E" w:tentative="1">
      <w:start w:val="1"/>
      <w:numFmt w:val="bullet"/>
      <w:lvlText w:val=""/>
      <w:lvlJc w:val="left"/>
      <w:pPr>
        <w:ind w:left="5760" w:hanging="360"/>
      </w:pPr>
      <w:rPr>
        <w:rFonts w:ascii="Symbol" w:hAnsi="Symbol" w:hint="default"/>
      </w:rPr>
    </w:lvl>
    <w:lvl w:ilvl="7" w:tplc="EF60E220" w:tentative="1">
      <w:start w:val="1"/>
      <w:numFmt w:val="bullet"/>
      <w:lvlText w:val="o"/>
      <w:lvlJc w:val="left"/>
      <w:pPr>
        <w:ind w:left="6480" w:hanging="360"/>
      </w:pPr>
      <w:rPr>
        <w:rFonts w:ascii="Courier New" w:hAnsi="Courier New" w:cs="Courier New" w:hint="default"/>
      </w:rPr>
    </w:lvl>
    <w:lvl w:ilvl="8" w:tplc="A6FCBAF8" w:tentative="1">
      <w:start w:val="1"/>
      <w:numFmt w:val="bullet"/>
      <w:lvlText w:val=""/>
      <w:lvlJc w:val="left"/>
      <w:pPr>
        <w:ind w:left="7200" w:hanging="360"/>
      </w:pPr>
      <w:rPr>
        <w:rFonts w:ascii="Wingdings" w:hAnsi="Wingdings" w:hint="default"/>
      </w:rPr>
    </w:lvl>
  </w:abstractNum>
  <w:abstractNum w:abstractNumId="15" w15:restartNumberingAfterBreak="0">
    <w:nsid w:val="69536897"/>
    <w:multiLevelType w:val="multilevel"/>
    <w:tmpl w:val="6EF4E982"/>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8"/>
  </w:num>
  <w:num w:numId="15">
    <w:abstractNumId w:val="14"/>
  </w:num>
  <w:num w:numId="16">
    <w:abstractNumId w:val="15"/>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5"/>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8"/>
  </w:num>
  <w:num w:numId="19">
    <w:abstractNumId w:val="18"/>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3"/>
  </w:num>
  <w:num w:numId="35">
    <w:abstractNumId w:val="15"/>
  </w:num>
  <w:num w:numId="36">
    <w:abstractNumId w:val="15"/>
  </w:num>
  <w:num w:numId="37">
    <w:abstractNumId w:val="15"/>
  </w:num>
  <w:num w:numId="38">
    <w:abstractNumId w:val="15"/>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E1"/>
    <w:rsid w:val="000E3A5A"/>
    <w:rsid w:val="002B1800"/>
    <w:rsid w:val="00347CB0"/>
    <w:rsid w:val="003B7AE1"/>
    <w:rsid w:val="008A1E58"/>
    <w:rsid w:val="008E22D8"/>
    <w:rsid w:val="00C924ED"/>
    <w:rsid w:val="00DE6459"/>
    <w:rsid w:val="00F5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FAC19-98D2-442E-A9FD-A5C793F1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5C75"/>
  </w:style>
  <w:style w:type="paragraph" w:styleId="Heading1">
    <w:name w:val="heading 1"/>
    <w:basedOn w:val="Normal"/>
    <w:next w:val="Normal"/>
    <w:link w:val="Heading1Char"/>
    <w:qFormat/>
    <w:rsid w:val="00F02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title">
    <w:name w:val="R title"/>
    <w:basedOn w:val="Heading1"/>
    <w:link w:val="RtitleChar"/>
    <w:autoRedefine/>
    <w:qFormat/>
    <w:rsid w:val="000E3D7B"/>
    <w:pPr>
      <w:spacing w:after="360" w:line="240" w:lineRule="auto"/>
    </w:pPr>
    <w:rPr>
      <w:rFonts w:ascii="Arial" w:hAnsi="Arial" w:cs="Arial"/>
      <w:b/>
      <w:color w:val="auto"/>
      <w:szCs w:val="24"/>
    </w:rPr>
  </w:style>
  <w:style w:type="paragraph" w:customStyle="1" w:styleId="Rheading">
    <w:name w:val="R heading"/>
    <w:basedOn w:val="Subtitle"/>
    <w:link w:val="RheadingChar"/>
    <w:autoRedefine/>
    <w:qFormat/>
    <w:rsid w:val="00951213"/>
    <w:pPr>
      <w:numPr>
        <w:ilvl w:val="0"/>
        <w:numId w:val="3"/>
      </w:numPr>
      <w:spacing w:before="240" w:after="120" w:line="240" w:lineRule="auto"/>
    </w:pPr>
    <w:rPr>
      <w:rFonts w:ascii="Arial" w:hAnsi="Arial"/>
      <w:b/>
      <w:color w:val="auto"/>
      <w:spacing w:val="0"/>
      <w:sz w:val="28"/>
    </w:rPr>
  </w:style>
  <w:style w:type="character" w:customStyle="1" w:styleId="Heading1Char">
    <w:name w:val="Heading 1 Char"/>
    <w:basedOn w:val="DefaultParagraphFont"/>
    <w:link w:val="Heading1"/>
    <w:rsid w:val="00F02DC5"/>
    <w:rPr>
      <w:rFonts w:asciiTheme="majorHAnsi" w:eastAsiaTheme="majorEastAsia" w:hAnsiTheme="majorHAnsi" w:cstheme="majorBidi"/>
      <w:color w:val="2E74B5" w:themeColor="accent1" w:themeShade="BF"/>
      <w:sz w:val="32"/>
      <w:szCs w:val="32"/>
    </w:rPr>
  </w:style>
  <w:style w:type="character" w:customStyle="1" w:styleId="RtitleChar">
    <w:name w:val="R title Char"/>
    <w:basedOn w:val="Heading1Char"/>
    <w:link w:val="Rtitle"/>
    <w:rsid w:val="000E3D7B"/>
    <w:rPr>
      <w:rFonts w:ascii="Arial" w:eastAsiaTheme="majorEastAsia" w:hAnsi="Arial" w:cs="Arial"/>
      <w:b/>
      <w:color w:val="2E74B5" w:themeColor="accent1" w:themeShade="BF"/>
      <w:sz w:val="32"/>
      <w:szCs w:val="24"/>
    </w:rPr>
  </w:style>
  <w:style w:type="paragraph" w:customStyle="1" w:styleId="Rnumberedparagraph">
    <w:name w:val="R numbered paragraph"/>
    <w:basedOn w:val="Rparagraph"/>
    <w:link w:val="RnumberedparagraphChar"/>
    <w:autoRedefine/>
    <w:rsid w:val="0017397E"/>
  </w:style>
  <w:style w:type="paragraph" w:styleId="Subtitle">
    <w:name w:val="Subtitle"/>
    <w:basedOn w:val="Normal"/>
    <w:next w:val="Normal"/>
    <w:link w:val="SubtitleChar"/>
    <w:uiPriority w:val="11"/>
    <w:rsid w:val="0088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headingChar">
    <w:name w:val="R heading Char"/>
    <w:basedOn w:val="SubtitleChar"/>
    <w:link w:val="R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contextualSpacing/>
    </w:p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17397E"/>
    <w:rPr>
      <w:rFonts w:ascii="Arial" w:eastAsiaTheme="minorEastAsia" w:hAnsi="Arial"/>
      <w:sz w:val="24"/>
    </w:rPr>
  </w:style>
  <w:style w:type="paragraph" w:customStyle="1" w:styleId="Rbullet">
    <w:name w:val="R bullet"/>
    <w:basedOn w:val="Rnumberedparagraph"/>
    <w:link w:val="RbulletChar"/>
    <w:autoRedefine/>
    <w:qFormat/>
    <w:rsid w:val="00291B97"/>
    <w:pPr>
      <w:numPr>
        <w:ilvl w:val="0"/>
        <w:numId w:val="15"/>
      </w:numPr>
      <w:ind w:left="1134" w:hanging="283"/>
    </w:pPr>
  </w:style>
  <w:style w:type="paragraph" w:customStyle="1" w:styleId="Rblankparagraph">
    <w:name w:val="R blank paragraph"/>
    <w:basedOn w:val="Rnumberedparagraph"/>
    <w:link w:val="RblankparagraphChar"/>
    <w:autoRedefine/>
    <w:qFormat/>
    <w:rsid w:val="000D1344"/>
    <w:pPr>
      <w:numPr>
        <w:ilvl w:val="0"/>
        <w:numId w:val="0"/>
      </w:numPr>
    </w:pPr>
  </w:style>
  <w:style w:type="character" w:customStyle="1" w:styleId="RbulletChar">
    <w:name w:val="R bullet Char"/>
    <w:basedOn w:val="RnumberedparagraphChar"/>
    <w:link w:val="Rbullet"/>
    <w:rsid w:val="00291B97"/>
    <w:rPr>
      <w:rFonts w:ascii="Arial" w:eastAsiaTheme="minorEastAsia" w:hAnsi="Arial"/>
      <w:sz w:val="24"/>
    </w:rPr>
  </w:style>
  <w:style w:type="paragraph" w:customStyle="1" w:styleId="Rparagraph">
    <w:name w:val="R paragraph"/>
    <w:basedOn w:val="Rheading"/>
    <w:link w:val="RparagraphChar"/>
    <w:qFormat/>
    <w:rsid w:val="003558F1"/>
    <w:pPr>
      <w:numPr>
        <w:ilvl w:val="1"/>
      </w:numPr>
      <w:spacing w:before="120"/>
      <w:ind w:left="567" w:hanging="567"/>
    </w:pPr>
    <w:rPr>
      <w:b w:val="0"/>
      <w:sz w:val="24"/>
    </w:rPr>
  </w:style>
  <w:style w:type="character" w:customStyle="1" w:styleId="RblankparagraphChar">
    <w:name w:val="R blank paragraph Char"/>
    <w:basedOn w:val="RnumberedparagraphChar"/>
    <w:link w:val="Rblankparagraph"/>
    <w:rsid w:val="000D1344"/>
    <w:rPr>
      <w:rFonts w:ascii="Arial" w:eastAsiaTheme="minorEastAsia" w:hAnsi="Arial"/>
      <w:sz w:val="24"/>
    </w:rPr>
  </w:style>
  <w:style w:type="paragraph" w:customStyle="1" w:styleId="Style2">
    <w:name w:val="Style2"/>
    <w:basedOn w:val="Rheading"/>
    <w:next w:val="Rparagraph"/>
    <w:rsid w:val="00A23158"/>
    <w:pPr>
      <w:numPr>
        <w:numId w:val="0"/>
      </w:numPr>
      <w:ind w:left="851" w:hanging="426"/>
    </w:pPr>
    <w:rPr>
      <w:b w:val="0"/>
    </w:rPr>
  </w:style>
  <w:style w:type="paragraph" w:customStyle="1" w:styleId="Rthirdlevelparagraph">
    <w:name w:val="R third level paragraph"/>
    <w:basedOn w:val="Rparagraph"/>
    <w:link w:val="RthirdlevelparagraphChar"/>
    <w:autoRedefine/>
    <w:qFormat/>
    <w:rsid w:val="00FB51F3"/>
    <w:pPr>
      <w:numPr>
        <w:ilvl w:val="2"/>
      </w:numPr>
    </w:pPr>
  </w:style>
  <w:style w:type="character" w:customStyle="1" w:styleId="RparagraphChar">
    <w:name w:val="R paragraph Char"/>
    <w:basedOn w:val="RheadingChar"/>
    <w:link w:val="Rparagraph"/>
    <w:rsid w:val="003558F1"/>
    <w:rPr>
      <w:rFonts w:ascii="Arial" w:eastAsiaTheme="minorEastAsia" w:hAnsi="Arial"/>
      <w:b w:val="0"/>
      <w:color w:val="5A5A5A" w:themeColor="text1" w:themeTint="A5"/>
      <w:spacing w:val="15"/>
      <w:sz w:val="24"/>
    </w:rPr>
  </w:style>
  <w:style w:type="character" w:customStyle="1" w:styleId="RthirdlevelparagraphChar">
    <w:name w:val="R third level paragraph Char"/>
    <w:basedOn w:val="RparagraphChar"/>
    <w:link w:val="Rthirdlevelparagraph"/>
    <w:rsid w:val="00FB51F3"/>
    <w:rPr>
      <w:rFonts w:ascii="Arial" w:eastAsiaTheme="minorEastAsia" w:hAnsi="Arial"/>
      <w:b w:val="0"/>
      <w:color w:val="5A5A5A" w:themeColor="text1" w:themeTint="A5"/>
      <w:spacing w:val="15"/>
      <w:sz w:val="24"/>
    </w:rPr>
  </w:style>
  <w:style w:type="paragraph" w:customStyle="1" w:styleId="Rquotation">
    <w:name w:val="R quotation"/>
    <w:basedOn w:val="Rblankparagraph"/>
    <w:link w:val="RquotationChar"/>
    <w:qFormat/>
    <w:rsid w:val="000D1344"/>
    <w:pPr>
      <w:ind w:left="567"/>
    </w:pPr>
  </w:style>
  <w:style w:type="paragraph" w:customStyle="1" w:styleId="Rsub-heading">
    <w:name w:val="R sub-heading"/>
    <w:basedOn w:val="Rparagraph"/>
    <w:link w:val="Rsub-headingChar"/>
    <w:autoRedefine/>
    <w:qFormat/>
    <w:rsid w:val="00D30A41"/>
    <w:pPr>
      <w:numPr>
        <w:ilvl w:val="0"/>
        <w:numId w:val="0"/>
      </w:numPr>
      <w:ind w:left="567"/>
    </w:pPr>
    <w:rPr>
      <w:b/>
    </w:rPr>
  </w:style>
  <w:style w:type="character" w:customStyle="1" w:styleId="RquotationChar">
    <w:name w:val="R quotation Char"/>
    <w:basedOn w:val="RblankparagraphChar"/>
    <w:link w:val="Rquotation"/>
    <w:rsid w:val="000D1344"/>
    <w:rPr>
      <w:rFonts w:ascii="Arial" w:eastAsiaTheme="minorEastAsia" w:hAnsi="Arial"/>
      <w:sz w:val="24"/>
    </w:rPr>
  </w:style>
  <w:style w:type="character" w:customStyle="1" w:styleId="Rsub-headingChar">
    <w:name w:val="R sub-heading Char"/>
    <w:basedOn w:val="RparagraphChar"/>
    <w:link w:val="Rsub-heading"/>
    <w:rsid w:val="00D30A41"/>
    <w:rPr>
      <w:rFonts w:ascii="Arial" w:eastAsiaTheme="minorEastAsia" w:hAnsi="Arial"/>
      <w:b/>
      <w:color w:val="5A5A5A" w:themeColor="text1" w:themeTint="A5"/>
      <w:spacing w:val="15"/>
      <w:sz w:val="24"/>
    </w:rPr>
  </w:style>
  <w:style w:type="paragraph" w:styleId="ListParagraph">
    <w:name w:val="List Paragraph"/>
    <w:basedOn w:val="Normal"/>
    <w:link w:val="ListParagraphChar"/>
    <w:uiPriority w:val="34"/>
    <w:qFormat/>
    <w:rsid w:val="004224A4"/>
    <w:pPr>
      <w:spacing w:after="0" w:line="260" w:lineRule="atLeast"/>
      <w:ind w:left="720"/>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4224A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22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4A4"/>
  </w:style>
  <w:style w:type="paragraph" w:styleId="Footer">
    <w:name w:val="footer"/>
    <w:basedOn w:val="Normal"/>
    <w:link w:val="FooterChar"/>
    <w:uiPriority w:val="99"/>
    <w:unhideWhenUsed/>
    <w:rsid w:val="00422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4A4"/>
  </w:style>
  <w:style w:type="paragraph" w:styleId="CommentText">
    <w:name w:val="annotation text"/>
    <w:basedOn w:val="Normal"/>
    <w:link w:val="CommentTextChar"/>
    <w:semiHidden/>
    <w:rsid w:val="00B40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40F81"/>
    <w:rPr>
      <w:rFonts w:ascii="Times New Roman" w:eastAsia="Times New Roman" w:hAnsi="Times New Roman" w:cs="Times New Roman"/>
      <w:sz w:val="20"/>
      <w:szCs w:val="20"/>
    </w:rPr>
  </w:style>
  <w:style w:type="table" w:styleId="TableGrid">
    <w:name w:val="Table Grid"/>
    <w:basedOn w:val="TableNormal"/>
    <w:rsid w:val="00B40F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F8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F93995"/>
    <w:rPr>
      <w:sz w:val="16"/>
      <w:szCs w:val="16"/>
    </w:rPr>
  </w:style>
  <w:style w:type="paragraph" w:styleId="CommentSubject">
    <w:name w:val="annotation subject"/>
    <w:basedOn w:val="CommentText"/>
    <w:next w:val="CommentText"/>
    <w:link w:val="CommentSubjectChar"/>
    <w:uiPriority w:val="99"/>
    <w:semiHidden/>
    <w:unhideWhenUsed/>
    <w:rsid w:val="00F9399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93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3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995"/>
    <w:rPr>
      <w:rFonts w:ascii="Segoe UI" w:hAnsi="Segoe UI" w:cs="Segoe UI"/>
      <w:sz w:val="18"/>
      <w:szCs w:val="18"/>
    </w:rPr>
  </w:style>
  <w:style w:type="paragraph" w:styleId="Revision">
    <w:name w:val="Revision"/>
    <w:hidden/>
    <w:uiPriority w:val="99"/>
    <w:semiHidden/>
    <w:rsid w:val="00D25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7F379-B118-4761-9CB7-4F6D5110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6</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Neville, Mike</cp:lastModifiedBy>
  <cp:revision>26</cp:revision>
  <dcterms:created xsi:type="dcterms:W3CDTF">2019-05-15T07:39:00Z</dcterms:created>
  <dcterms:modified xsi:type="dcterms:W3CDTF">2019-06-12T10:15:00Z</dcterms:modified>
</cp:coreProperties>
</file>